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32C" w:rsidRPr="00602BEA" w:rsidRDefault="0087532C" w:rsidP="00BF706E">
      <w:pPr>
        <w:widowControl/>
        <w:tabs>
          <w:tab w:val="left" w:pos="600"/>
        </w:tabs>
        <w:spacing w:line="360" w:lineRule="exact"/>
        <w:jc w:val="both"/>
        <w:rPr>
          <w:rFonts w:asciiTheme="minorHAnsi" w:hAnsiTheme="minorHAnsi" w:cstheme="minorHAnsi"/>
          <w:b/>
          <w:bCs/>
        </w:rPr>
      </w:pPr>
      <w:r w:rsidRPr="00602BEA">
        <w:rPr>
          <w:rFonts w:asciiTheme="minorHAnsi" w:hAnsiTheme="minorHAnsi" w:cstheme="minorHAnsi"/>
          <w:b/>
          <w:bCs/>
        </w:rPr>
        <w:t xml:space="preserve">CONVENZIONE AI SENSI DELL’ART. 30 DEL D.LGS. 267/2000 TRA I COMUNI </w:t>
      </w:r>
      <w:r w:rsidRPr="00602BEA">
        <w:rPr>
          <w:rFonts w:asciiTheme="minorHAnsi" w:hAnsiTheme="minorHAnsi" w:cstheme="minorHAnsi"/>
          <w:b/>
        </w:rPr>
        <w:t xml:space="preserve">DI </w:t>
      </w:r>
      <w:r w:rsidR="00BF706E" w:rsidRPr="00BF706E">
        <w:rPr>
          <w:rFonts w:asciiTheme="minorHAnsi" w:hAnsiTheme="minorHAnsi" w:cstheme="minorHAnsi"/>
          <w:b/>
        </w:rPr>
        <w:t xml:space="preserve">CODIGORO, COMACCHIO, FISCAGLIA, GORO, LAGOSANTO, MESOLA, JOLANDA DI SAVOIA, VIGARANO MAINARDA, </w:t>
      </w:r>
      <w:r w:rsidR="00BF706E">
        <w:rPr>
          <w:rFonts w:asciiTheme="minorHAnsi" w:hAnsiTheme="minorHAnsi" w:cstheme="minorHAnsi"/>
          <w:b/>
        </w:rPr>
        <w:t>L</w:t>
      </w:r>
      <w:r w:rsidRPr="00602BEA">
        <w:rPr>
          <w:rFonts w:asciiTheme="minorHAnsi" w:hAnsiTheme="minorHAnsi" w:cstheme="minorHAnsi"/>
          <w:b/>
        </w:rPr>
        <w:t xml:space="preserve">’UNIONE TERRE E FIUMI </w:t>
      </w:r>
      <w:r w:rsidRPr="00602BEA">
        <w:rPr>
          <w:rFonts w:asciiTheme="minorHAnsi" w:hAnsiTheme="minorHAnsi" w:cstheme="minorHAnsi"/>
          <w:b/>
          <w:bCs/>
        </w:rPr>
        <w:t>E LA PROVINCIA DI FERRARA PER LA COSTITUZIONE DI UN UFFICIO ASSOCIATO PER LO SVOLGIMENTO DELLE ATTIVITA’ DI CUI ALLA L.R. 19/2008.</w:t>
      </w:r>
    </w:p>
    <w:p w:rsidR="0087532C" w:rsidRPr="00602BEA" w:rsidRDefault="0087532C" w:rsidP="004B5388">
      <w:pPr>
        <w:pStyle w:val="Corpotesto"/>
        <w:spacing w:after="0" w:line="360" w:lineRule="exact"/>
        <w:jc w:val="both"/>
        <w:rPr>
          <w:rFonts w:asciiTheme="minorHAnsi" w:hAnsiTheme="minorHAnsi" w:cstheme="minorHAnsi"/>
        </w:rPr>
      </w:pPr>
    </w:p>
    <w:p w:rsidR="0087532C" w:rsidRPr="00602BEA" w:rsidRDefault="0087532C" w:rsidP="004B5388">
      <w:pPr>
        <w:widowControl/>
        <w:tabs>
          <w:tab w:val="left" w:pos="600"/>
        </w:tabs>
        <w:spacing w:line="360" w:lineRule="exact"/>
        <w:jc w:val="both"/>
        <w:rPr>
          <w:rFonts w:asciiTheme="minorHAnsi" w:hAnsiTheme="minorHAnsi" w:cstheme="minorHAnsi"/>
        </w:rPr>
      </w:pPr>
      <w:r w:rsidRPr="00602BEA">
        <w:rPr>
          <w:rFonts w:asciiTheme="minorHAnsi" w:hAnsiTheme="minorHAnsi" w:cstheme="minorHAnsi"/>
        </w:rPr>
        <w:t>Tra i Comuni di</w:t>
      </w:r>
      <w:r w:rsidR="00953EA4">
        <w:rPr>
          <w:rFonts w:asciiTheme="minorHAnsi" w:hAnsiTheme="minorHAnsi" w:cstheme="minorHAnsi"/>
        </w:rPr>
        <w:t xml:space="preserve"> </w:t>
      </w:r>
      <w:r w:rsidR="00DC2CF0">
        <w:rPr>
          <w:rFonts w:asciiTheme="minorHAnsi" w:hAnsiTheme="minorHAnsi" w:cstheme="minorHAnsi"/>
        </w:rPr>
        <w:t xml:space="preserve">Codigoro, </w:t>
      </w:r>
      <w:r w:rsidR="008F1D30">
        <w:rPr>
          <w:rFonts w:asciiTheme="minorHAnsi" w:hAnsiTheme="minorHAnsi" w:cstheme="minorHAnsi"/>
        </w:rPr>
        <w:t xml:space="preserve">Comacchio, Fiscaglia, Goro, Lagosanto, Mesola, Jolanda di Savoia, Vigarano Mainarda, </w:t>
      </w:r>
      <w:r w:rsidRPr="00602BEA">
        <w:rPr>
          <w:rFonts w:asciiTheme="minorHAnsi" w:hAnsiTheme="minorHAnsi" w:cstheme="minorHAnsi"/>
        </w:rPr>
        <w:t>l’Unione Terre e Fiumi e la Provincia di Ferrara</w:t>
      </w:r>
      <w:r w:rsidR="00EF0518">
        <w:rPr>
          <w:rFonts w:asciiTheme="minorHAnsi" w:hAnsiTheme="minorHAnsi" w:cstheme="minorHAnsi"/>
        </w:rPr>
        <w:t>.</w:t>
      </w:r>
    </w:p>
    <w:p w:rsidR="0087532C" w:rsidRPr="00602BEA" w:rsidRDefault="0087532C" w:rsidP="004B5388">
      <w:pPr>
        <w:widowControl/>
        <w:tabs>
          <w:tab w:val="left" w:pos="600"/>
        </w:tabs>
        <w:spacing w:line="360" w:lineRule="exact"/>
        <w:jc w:val="both"/>
        <w:rPr>
          <w:rFonts w:asciiTheme="minorHAnsi" w:hAnsiTheme="minorHAnsi" w:cstheme="minorHAnsi"/>
        </w:rPr>
      </w:pPr>
    </w:p>
    <w:p w:rsidR="0087532C" w:rsidRPr="00602BEA" w:rsidRDefault="0087532C" w:rsidP="004B5388">
      <w:pPr>
        <w:pStyle w:val="Corpotesto"/>
        <w:tabs>
          <w:tab w:val="left" w:pos="540"/>
        </w:tabs>
        <w:spacing w:after="0" w:line="360" w:lineRule="exact"/>
        <w:ind w:firstLine="180"/>
        <w:jc w:val="both"/>
        <w:rPr>
          <w:rFonts w:asciiTheme="minorHAnsi" w:hAnsiTheme="minorHAnsi" w:cstheme="minorHAnsi"/>
          <w:b/>
          <w:color w:val="000000"/>
        </w:rPr>
      </w:pPr>
      <w:r w:rsidRPr="00602BEA">
        <w:rPr>
          <w:rFonts w:asciiTheme="minorHAnsi" w:hAnsiTheme="minorHAnsi" w:cstheme="minorHAnsi"/>
          <w:b/>
          <w:color w:val="000000"/>
        </w:rPr>
        <w:t xml:space="preserve">Premesso: </w:t>
      </w:r>
    </w:p>
    <w:p w:rsidR="0087532C" w:rsidRPr="00602BEA" w:rsidRDefault="0087532C" w:rsidP="004B5388">
      <w:pPr>
        <w:widowControl/>
        <w:numPr>
          <w:ilvl w:val="0"/>
          <w:numId w:val="1"/>
        </w:numPr>
        <w:tabs>
          <w:tab w:val="clear" w:pos="720"/>
          <w:tab w:val="left" w:pos="540"/>
          <w:tab w:val="num" w:pos="851"/>
        </w:tabs>
        <w:suppressAutoHyphens w:val="0"/>
        <w:autoSpaceDE w:val="0"/>
        <w:autoSpaceDN w:val="0"/>
        <w:adjustRightInd w:val="0"/>
        <w:spacing w:line="360" w:lineRule="exact"/>
        <w:ind w:left="0" w:firstLine="180"/>
        <w:jc w:val="both"/>
        <w:rPr>
          <w:rFonts w:asciiTheme="minorHAnsi" w:hAnsiTheme="minorHAnsi" w:cstheme="minorHAnsi"/>
          <w:b/>
          <w:bCs/>
        </w:rPr>
      </w:pPr>
      <w:r w:rsidRPr="00602BEA">
        <w:rPr>
          <w:rFonts w:asciiTheme="minorHAnsi" w:hAnsiTheme="minorHAnsi" w:cstheme="minorHAnsi"/>
        </w:rPr>
        <w:t xml:space="preserve">che l’art. 3 della L.R. </w:t>
      </w:r>
      <w:r w:rsidRPr="00602BEA">
        <w:rPr>
          <w:rFonts w:asciiTheme="minorHAnsi" w:hAnsiTheme="minorHAnsi" w:cstheme="minorHAnsi"/>
          <w:kern w:val="0"/>
        </w:rPr>
        <w:t>30 ottobre 2008, n. 19 “Norme per la riduzione del rischio sismico” (d’ora innanzi semplicemente “legge regionale”) assegna ai Comuni le funzioni i</w:t>
      </w:r>
      <w:r w:rsidR="00C71DA0" w:rsidRPr="00602BEA">
        <w:rPr>
          <w:rFonts w:asciiTheme="minorHAnsi" w:hAnsiTheme="minorHAnsi" w:cstheme="minorHAnsi"/>
          <w:kern w:val="0"/>
        </w:rPr>
        <w:t>n materia sismica, prevedendo la</w:t>
      </w:r>
      <w:r w:rsidRPr="00602BEA">
        <w:rPr>
          <w:rFonts w:asciiTheme="minorHAnsi" w:hAnsiTheme="minorHAnsi" w:cstheme="minorHAnsi"/>
          <w:kern w:val="0"/>
        </w:rPr>
        <w:t xml:space="preserve"> possibilità di avvalersi per un periodo non inferiore a 10 anni delle strutture regionali competenti in materia sismica; </w:t>
      </w:r>
    </w:p>
    <w:p w:rsidR="0087532C" w:rsidRPr="00602BEA" w:rsidRDefault="0087532C" w:rsidP="004B5388">
      <w:pPr>
        <w:widowControl/>
        <w:numPr>
          <w:ilvl w:val="0"/>
          <w:numId w:val="1"/>
        </w:numPr>
        <w:tabs>
          <w:tab w:val="clear" w:pos="720"/>
          <w:tab w:val="left" w:pos="540"/>
          <w:tab w:val="num" w:pos="851"/>
        </w:tabs>
        <w:suppressAutoHyphens w:val="0"/>
        <w:autoSpaceDE w:val="0"/>
        <w:autoSpaceDN w:val="0"/>
        <w:adjustRightInd w:val="0"/>
        <w:spacing w:line="360" w:lineRule="exact"/>
        <w:ind w:left="0" w:firstLine="180"/>
        <w:jc w:val="both"/>
        <w:rPr>
          <w:rFonts w:asciiTheme="minorHAnsi" w:hAnsiTheme="minorHAnsi" w:cstheme="minorHAnsi"/>
          <w:kern w:val="0"/>
          <w:lang w:eastAsia="it-IT" w:bidi="ar-SA"/>
        </w:rPr>
      </w:pPr>
      <w:r w:rsidRPr="00602BEA">
        <w:rPr>
          <w:rFonts w:asciiTheme="minorHAnsi" w:hAnsiTheme="minorHAnsi" w:cstheme="minorHAnsi"/>
          <w:shd w:val="clear" w:color="auto" w:fill="FFFFFF"/>
        </w:rPr>
        <w:t xml:space="preserve">che l’art. 35 della </w:t>
      </w:r>
      <w:r w:rsidRPr="00602BEA">
        <w:rPr>
          <w:rFonts w:asciiTheme="minorHAnsi" w:hAnsiTheme="minorHAnsi" w:cstheme="minorHAnsi"/>
          <w:bCs/>
        </w:rPr>
        <w:t>legge regionale 27 dicembre 2017, n. 25 “D</w:t>
      </w:r>
      <w:r w:rsidRPr="00602BEA">
        <w:rPr>
          <w:rFonts w:asciiTheme="minorHAnsi" w:eastAsia="Times New Roman" w:hAnsiTheme="minorHAnsi" w:cstheme="minorHAnsi"/>
          <w:bCs/>
          <w:kern w:val="0"/>
          <w:lang w:eastAsia="it-IT" w:bidi="ar-SA"/>
        </w:rPr>
        <w:t xml:space="preserve">isposizioni collegate alla legge regionale di stabilità per il </w:t>
      </w:r>
      <w:smartTag w:uri="urn:schemas-microsoft-com:office:smarttags" w:element="metricconverter">
        <w:smartTagPr>
          <w:attr w:name="ProductID" w:val="2018”"/>
        </w:smartTagPr>
        <w:r w:rsidRPr="00602BEA">
          <w:rPr>
            <w:rFonts w:asciiTheme="minorHAnsi" w:eastAsia="Times New Roman" w:hAnsiTheme="minorHAnsi" w:cstheme="minorHAnsi"/>
            <w:bCs/>
            <w:kern w:val="0"/>
            <w:lang w:eastAsia="it-IT" w:bidi="ar-SA"/>
          </w:rPr>
          <w:t>2018”</w:t>
        </w:r>
      </w:smartTag>
      <w:r w:rsidRPr="00602BEA">
        <w:rPr>
          <w:rFonts w:asciiTheme="minorHAnsi" w:eastAsia="Times New Roman" w:hAnsiTheme="minorHAnsi" w:cstheme="minorHAnsi"/>
          <w:bCs/>
          <w:kern w:val="0"/>
          <w:lang w:eastAsia="it-IT" w:bidi="ar-SA"/>
        </w:rPr>
        <w:t xml:space="preserve"> </w:t>
      </w:r>
      <w:r w:rsidRPr="00602BEA">
        <w:rPr>
          <w:rFonts w:asciiTheme="minorHAnsi" w:hAnsiTheme="minorHAnsi" w:cstheme="minorHAnsi"/>
          <w:shd w:val="clear" w:color="auto" w:fill="FFFFFF"/>
        </w:rPr>
        <w:t xml:space="preserve">dispone che l'avvalimento delle strutture regionali competenti in materia sismica, previsto dalla </w:t>
      </w:r>
      <w:r w:rsidRPr="00602BEA">
        <w:rPr>
          <w:rFonts w:asciiTheme="minorHAnsi" w:hAnsiTheme="minorHAnsi" w:cstheme="minorHAnsi"/>
          <w:kern w:val="0"/>
        </w:rPr>
        <w:t>legge regionale,</w:t>
      </w:r>
      <w:r w:rsidRPr="00602BEA">
        <w:rPr>
          <w:rFonts w:asciiTheme="minorHAnsi" w:hAnsiTheme="minorHAnsi" w:cstheme="minorHAnsi"/>
          <w:shd w:val="clear" w:color="auto" w:fill="FFFFFF"/>
        </w:rPr>
        <w:t xml:space="preserve"> cessi il 31 dicembre 2018;</w:t>
      </w:r>
    </w:p>
    <w:p w:rsidR="0087532C" w:rsidRPr="00602BEA" w:rsidRDefault="0087532C" w:rsidP="004B5388">
      <w:pPr>
        <w:widowControl/>
        <w:numPr>
          <w:ilvl w:val="0"/>
          <w:numId w:val="1"/>
        </w:numPr>
        <w:tabs>
          <w:tab w:val="clear" w:pos="720"/>
          <w:tab w:val="left" w:pos="540"/>
          <w:tab w:val="num" w:pos="851"/>
        </w:tabs>
        <w:suppressAutoHyphens w:val="0"/>
        <w:autoSpaceDE w:val="0"/>
        <w:autoSpaceDN w:val="0"/>
        <w:adjustRightInd w:val="0"/>
        <w:spacing w:line="360" w:lineRule="exact"/>
        <w:ind w:left="0" w:firstLine="180"/>
        <w:jc w:val="both"/>
        <w:rPr>
          <w:rFonts w:asciiTheme="minorHAnsi" w:hAnsiTheme="minorHAnsi" w:cstheme="minorHAnsi"/>
          <w:kern w:val="0"/>
          <w:lang w:eastAsia="it-IT" w:bidi="ar-SA"/>
        </w:rPr>
      </w:pPr>
      <w:r w:rsidRPr="00602BEA">
        <w:rPr>
          <w:rFonts w:asciiTheme="minorHAnsi" w:hAnsiTheme="minorHAnsi" w:cstheme="minorHAnsi"/>
          <w:kern w:val="0"/>
          <w:lang w:eastAsia="it-IT" w:bidi="ar-SA"/>
        </w:rPr>
        <w:t xml:space="preserve">che le funzioni in materia sismica svolte dai comuni consistono tra l’altro nel rilascio delle autorizzazioni sismiche e nella verifica dei depositi delle relazioni sismiche ai sensi rispettivamente degli articoli 11 e 13 della </w:t>
      </w:r>
      <w:r w:rsidRPr="00602BEA">
        <w:rPr>
          <w:rFonts w:asciiTheme="minorHAnsi" w:hAnsiTheme="minorHAnsi" w:cstheme="minorHAnsi"/>
          <w:kern w:val="0"/>
        </w:rPr>
        <w:t>legge regionale</w:t>
      </w:r>
      <w:r w:rsidRPr="00602BEA">
        <w:rPr>
          <w:rFonts w:asciiTheme="minorHAnsi" w:hAnsiTheme="minorHAnsi" w:cstheme="minorHAnsi"/>
          <w:kern w:val="0"/>
          <w:lang w:eastAsia="it-IT" w:bidi="ar-SA"/>
        </w:rPr>
        <w:t>;</w:t>
      </w:r>
    </w:p>
    <w:p w:rsidR="0087532C" w:rsidRPr="00602BEA" w:rsidRDefault="0087532C" w:rsidP="004B5388">
      <w:pPr>
        <w:widowControl/>
        <w:numPr>
          <w:ilvl w:val="0"/>
          <w:numId w:val="1"/>
        </w:numPr>
        <w:tabs>
          <w:tab w:val="clear" w:pos="720"/>
          <w:tab w:val="left" w:pos="540"/>
          <w:tab w:val="num" w:pos="851"/>
        </w:tabs>
        <w:suppressAutoHyphens w:val="0"/>
        <w:autoSpaceDE w:val="0"/>
        <w:autoSpaceDN w:val="0"/>
        <w:adjustRightInd w:val="0"/>
        <w:spacing w:line="360" w:lineRule="exact"/>
        <w:ind w:left="0" w:firstLine="180"/>
        <w:jc w:val="both"/>
        <w:rPr>
          <w:rFonts w:asciiTheme="minorHAnsi" w:hAnsiTheme="minorHAnsi" w:cstheme="minorHAnsi"/>
          <w:kern w:val="0"/>
          <w:lang w:eastAsia="it-IT" w:bidi="ar-SA"/>
        </w:rPr>
      </w:pPr>
      <w:r w:rsidRPr="00602BEA">
        <w:rPr>
          <w:rFonts w:asciiTheme="minorHAnsi" w:hAnsiTheme="minorHAnsi" w:cstheme="minorHAnsi"/>
          <w:kern w:val="0"/>
          <w:lang w:eastAsia="it-IT" w:bidi="ar-SA"/>
        </w:rPr>
        <w:t xml:space="preserve">che la disciplina regionale prevede il regime </w:t>
      </w:r>
      <w:proofErr w:type="spellStart"/>
      <w:r w:rsidRPr="00602BEA">
        <w:rPr>
          <w:rFonts w:asciiTheme="minorHAnsi" w:hAnsiTheme="minorHAnsi" w:cstheme="minorHAnsi"/>
          <w:kern w:val="0"/>
          <w:lang w:eastAsia="it-IT" w:bidi="ar-SA"/>
        </w:rPr>
        <w:t>autorizzatorio</w:t>
      </w:r>
      <w:proofErr w:type="spellEnd"/>
      <w:r w:rsidRPr="00602BEA">
        <w:rPr>
          <w:rFonts w:asciiTheme="minorHAnsi" w:hAnsiTheme="minorHAnsi" w:cstheme="minorHAnsi"/>
          <w:kern w:val="0"/>
          <w:lang w:eastAsia="it-IT" w:bidi="ar-SA"/>
        </w:rPr>
        <w:t xml:space="preserve"> per le attività edilizie nei comuni a più elevato rischio sismico (Classe 2) e il regime di deposito, fatta salva l’autorizzazione in alcuni specifici casi, per i comuni nelle classi di rischio sismico più basso (Classe 3 </w:t>
      </w:r>
      <w:r w:rsidRPr="00063A2D">
        <w:rPr>
          <w:rFonts w:asciiTheme="minorHAnsi" w:hAnsiTheme="minorHAnsi" w:cstheme="minorHAnsi"/>
          <w:strike/>
          <w:kern w:val="0"/>
          <w:lang w:eastAsia="it-IT" w:bidi="ar-SA"/>
        </w:rPr>
        <w:t>e 4</w:t>
      </w:r>
      <w:r w:rsidRPr="00602BEA">
        <w:rPr>
          <w:rFonts w:asciiTheme="minorHAnsi" w:hAnsiTheme="minorHAnsi" w:cstheme="minorHAnsi"/>
          <w:kern w:val="0"/>
          <w:lang w:eastAsia="it-IT" w:bidi="ar-SA"/>
        </w:rPr>
        <w:t>);</w:t>
      </w:r>
    </w:p>
    <w:p w:rsidR="0087532C" w:rsidRPr="00602BEA" w:rsidRDefault="0087532C" w:rsidP="004B5388">
      <w:pPr>
        <w:widowControl/>
        <w:numPr>
          <w:ilvl w:val="0"/>
          <w:numId w:val="1"/>
        </w:numPr>
        <w:tabs>
          <w:tab w:val="clear" w:pos="720"/>
          <w:tab w:val="left" w:pos="540"/>
          <w:tab w:val="num" w:pos="851"/>
        </w:tabs>
        <w:suppressAutoHyphens w:val="0"/>
        <w:autoSpaceDE w:val="0"/>
        <w:autoSpaceDN w:val="0"/>
        <w:adjustRightInd w:val="0"/>
        <w:spacing w:line="360" w:lineRule="exact"/>
        <w:ind w:left="0" w:firstLine="180"/>
        <w:jc w:val="both"/>
        <w:rPr>
          <w:rFonts w:asciiTheme="minorHAnsi" w:hAnsiTheme="minorHAnsi" w:cstheme="minorHAnsi"/>
          <w:kern w:val="0"/>
          <w:lang w:eastAsia="it-IT" w:bidi="ar-SA"/>
        </w:rPr>
      </w:pPr>
      <w:r w:rsidRPr="00602BEA">
        <w:rPr>
          <w:rFonts w:asciiTheme="minorHAnsi" w:hAnsiTheme="minorHAnsi" w:cstheme="minorHAnsi"/>
          <w:kern w:val="0"/>
          <w:lang w:eastAsia="it-IT" w:bidi="ar-SA"/>
        </w:rPr>
        <w:t>che i comuni della Provincia che finora si sono avvalsi delle strutture tecniche regionali, hanno segnalato la difficoltà di adempiere in autonomia agli obblighi di legge in relazione alle specifiche competenze professionali richieste e al ridotto volume di pratiche presente in ciascun ente;</w:t>
      </w:r>
    </w:p>
    <w:p w:rsidR="0087532C" w:rsidRPr="00602BEA" w:rsidRDefault="0087532C" w:rsidP="004B5388">
      <w:pPr>
        <w:widowControl/>
        <w:numPr>
          <w:ilvl w:val="0"/>
          <w:numId w:val="1"/>
        </w:numPr>
        <w:tabs>
          <w:tab w:val="clear" w:pos="720"/>
          <w:tab w:val="left" w:pos="540"/>
          <w:tab w:val="num" w:pos="851"/>
        </w:tabs>
        <w:suppressAutoHyphens w:val="0"/>
        <w:autoSpaceDE w:val="0"/>
        <w:autoSpaceDN w:val="0"/>
        <w:adjustRightInd w:val="0"/>
        <w:spacing w:line="360" w:lineRule="exact"/>
        <w:ind w:left="0" w:firstLine="180"/>
        <w:jc w:val="both"/>
        <w:rPr>
          <w:rFonts w:asciiTheme="minorHAnsi" w:hAnsiTheme="minorHAnsi" w:cstheme="minorHAnsi"/>
          <w:color w:val="000000"/>
        </w:rPr>
      </w:pPr>
      <w:r w:rsidRPr="00602BEA">
        <w:rPr>
          <w:rFonts w:asciiTheme="minorHAnsi" w:hAnsiTheme="minorHAnsi" w:cstheme="minorHAnsi"/>
          <w:color w:val="000000"/>
        </w:rPr>
        <w:t>che è stata conseguentemente formulata la proposta di costituzione di un ufficio associato tra tutti i Comuni e Unioni in elenco e la Provincia per la gestione unitaria delle attività in materia sismica al fine di semplificare l’attività presso i singoli Comuni e elevati standard di professionalità, tempestività ed economicità;</w:t>
      </w:r>
    </w:p>
    <w:p w:rsidR="0087532C" w:rsidRPr="00602BEA" w:rsidRDefault="0087532C" w:rsidP="004B5388">
      <w:pPr>
        <w:widowControl/>
        <w:numPr>
          <w:ilvl w:val="0"/>
          <w:numId w:val="1"/>
        </w:numPr>
        <w:tabs>
          <w:tab w:val="clear" w:pos="720"/>
          <w:tab w:val="left" w:pos="540"/>
          <w:tab w:val="num" w:pos="851"/>
        </w:tabs>
        <w:suppressAutoHyphens w:val="0"/>
        <w:autoSpaceDE w:val="0"/>
        <w:autoSpaceDN w:val="0"/>
        <w:adjustRightInd w:val="0"/>
        <w:spacing w:line="360" w:lineRule="exact"/>
        <w:ind w:left="0" w:firstLine="180"/>
        <w:jc w:val="both"/>
        <w:rPr>
          <w:rFonts w:asciiTheme="minorHAnsi" w:hAnsiTheme="minorHAnsi" w:cstheme="minorHAnsi"/>
          <w:color w:val="000000"/>
        </w:rPr>
      </w:pPr>
      <w:r w:rsidRPr="00602BEA">
        <w:rPr>
          <w:rFonts w:asciiTheme="minorHAnsi" w:hAnsiTheme="minorHAnsi" w:cstheme="minorHAnsi"/>
          <w:color w:val="000000"/>
        </w:rPr>
        <w:t>che a seguito della positiva valutazione di tale ipotesi, le parti con atti dei rispettivi organi, hanno deliberato lo schema della presente convenzione per la costituzione e l’adesione all’ufficio associato per la sismica ai sensi dell’art. 30 del d.lgs. 267/2000;</w:t>
      </w:r>
    </w:p>
    <w:p w:rsidR="00EF0518" w:rsidRDefault="00EF0518" w:rsidP="004B5388">
      <w:pPr>
        <w:pStyle w:val="Corpotesto"/>
        <w:tabs>
          <w:tab w:val="left" w:pos="540"/>
        </w:tabs>
        <w:spacing w:after="0" w:line="360" w:lineRule="exact"/>
        <w:ind w:firstLine="180"/>
        <w:jc w:val="both"/>
        <w:rPr>
          <w:rFonts w:asciiTheme="minorHAnsi" w:hAnsiTheme="minorHAnsi" w:cstheme="minorHAnsi"/>
          <w:color w:val="000000"/>
        </w:rPr>
      </w:pPr>
    </w:p>
    <w:p w:rsidR="0087532C" w:rsidRPr="00602BEA" w:rsidRDefault="0087532C" w:rsidP="004B5388">
      <w:pPr>
        <w:pStyle w:val="Corpotesto"/>
        <w:tabs>
          <w:tab w:val="left" w:pos="540"/>
        </w:tabs>
        <w:spacing w:after="0" w:line="360" w:lineRule="exact"/>
        <w:ind w:firstLine="180"/>
        <w:jc w:val="both"/>
        <w:rPr>
          <w:rFonts w:asciiTheme="minorHAnsi" w:hAnsiTheme="minorHAnsi" w:cstheme="minorHAnsi"/>
          <w:color w:val="000000"/>
        </w:rPr>
      </w:pPr>
      <w:r w:rsidRPr="00602BEA">
        <w:rPr>
          <w:rFonts w:asciiTheme="minorHAnsi" w:hAnsiTheme="minorHAnsi" w:cstheme="minorHAnsi"/>
          <w:color w:val="000000"/>
        </w:rPr>
        <w:t>Tutto ciò premesso</w:t>
      </w:r>
    </w:p>
    <w:p w:rsidR="0087532C" w:rsidRPr="00602BEA" w:rsidRDefault="0087532C" w:rsidP="00EF0518">
      <w:pPr>
        <w:pStyle w:val="Corpotesto"/>
        <w:tabs>
          <w:tab w:val="left" w:pos="540"/>
        </w:tabs>
        <w:spacing w:after="0" w:line="360" w:lineRule="exact"/>
        <w:ind w:firstLine="180"/>
        <w:jc w:val="center"/>
        <w:rPr>
          <w:rFonts w:asciiTheme="minorHAnsi" w:hAnsiTheme="minorHAnsi" w:cstheme="minorHAnsi"/>
          <w:b/>
          <w:color w:val="000000"/>
        </w:rPr>
      </w:pPr>
      <w:r w:rsidRPr="00602BEA">
        <w:rPr>
          <w:rFonts w:asciiTheme="minorHAnsi" w:hAnsiTheme="minorHAnsi" w:cstheme="minorHAnsi"/>
          <w:b/>
          <w:color w:val="000000"/>
        </w:rPr>
        <w:t>si conviene e stipula quanto segue:</w:t>
      </w:r>
    </w:p>
    <w:p w:rsidR="0087532C" w:rsidRPr="00602BEA" w:rsidRDefault="0087532C" w:rsidP="00EF0518">
      <w:pPr>
        <w:pStyle w:val="Corpotesto"/>
        <w:tabs>
          <w:tab w:val="left" w:pos="540"/>
        </w:tabs>
        <w:spacing w:after="0" w:line="360" w:lineRule="exact"/>
        <w:ind w:firstLine="180"/>
        <w:jc w:val="center"/>
        <w:rPr>
          <w:rFonts w:asciiTheme="minorHAnsi" w:hAnsiTheme="minorHAnsi" w:cstheme="minorHAnsi"/>
          <w:b/>
          <w:color w:val="000000"/>
        </w:rPr>
      </w:pPr>
    </w:p>
    <w:p w:rsidR="0087532C" w:rsidRPr="00602BEA" w:rsidRDefault="0087532C" w:rsidP="004B5388">
      <w:pPr>
        <w:pStyle w:val="Corpotesto"/>
        <w:tabs>
          <w:tab w:val="left" w:pos="540"/>
        </w:tabs>
        <w:spacing w:after="0" w:line="360" w:lineRule="exact"/>
        <w:ind w:firstLine="180"/>
        <w:jc w:val="both"/>
        <w:rPr>
          <w:rFonts w:asciiTheme="minorHAnsi" w:hAnsiTheme="minorHAnsi" w:cstheme="minorHAnsi"/>
          <w:color w:val="000000"/>
        </w:rPr>
      </w:pPr>
      <w:r w:rsidRPr="00602BEA">
        <w:rPr>
          <w:rFonts w:asciiTheme="minorHAnsi" w:hAnsiTheme="minorHAnsi" w:cstheme="minorHAnsi"/>
          <w:b/>
          <w:color w:val="000000"/>
        </w:rPr>
        <w:t>Art. 1. Finalità.</w:t>
      </w:r>
    </w:p>
    <w:p w:rsidR="0087532C" w:rsidRPr="00602BEA" w:rsidRDefault="0087532C" w:rsidP="004B5388">
      <w:pPr>
        <w:pStyle w:val="Corpotesto"/>
        <w:tabs>
          <w:tab w:val="left" w:pos="540"/>
        </w:tabs>
        <w:spacing w:after="0" w:line="360" w:lineRule="exact"/>
        <w:ind w:firstLine="180"/>
        <w:jc w:val="both"/>
        <w:rPr>
          <w:rFonts w:asciiTheme="minorHAnsi" w:hAnsiTheme="minorHAnsi" w:cstheme="minorHAnsi"/>
          <w:b/>
          <w:color w:val="000000"/>
        </w:rPr>
      </w:pPr>
      <w:r w:rsidRPr="00602BEA">
        <w:rPr>
          <w:rFonts w:asciiTheme="minorHAnsi" w:hAnsiTheme="minorHAnsi" w:cstheme="minorHAnsi"/>
          <w:color w:val="000000"/>
        </w:rPr>
        <w:t xml:space="preserve">Scopo della presente convenzione è l’attuazione da parte dei Comuni e Unioni aderenti, per il tramite della Provincia di Ferrara degli obblighi e delle competenze in materia sismica, come meglio </w:t>
      </w:r>
      <w:r w:rsidRPr="00602BEA">
        <w:rPr>
          <w:rFonts w:asciiTheme="minorHAnsi" w:hAnsiTheme="minorHAnsi" w:cstheme="minorHAnsi"/>
          <w:color w:val="000000"/>
        </w:rPr>
        <w:lastRenderedPageBreak/>
        <w:t xml:space="preserve">descritte successivamente, attribuite agli stessi dalla </w:t>
      </w:r>
      <w:r w:rsidRPr="00602BEA">
        <w:rPr>
          <w:rFonts w:asciiTheme="minorHAnsi" w:hAnsiTheme="minorHAnsi" w:cstheme="minorHAnsi"/>
          <w:kern w:val="0"/>
        </w:rPr>
        <w:t>legge regionale</w:t>
      </w:r>
      <w:r w:rsidRPr="00602BEA">
        <w:rPr>
          <w:rFonts w:asciiTheme="minorHAnsi" w:hAnsiTheme="minorHAnsi" w:cstheme="minorHAnsi"/>
          <w:color w:val="000000"/>
        </w:rPr>
        <w:t>.</w:t>
      </w:r>
    </w:p>
    <w:p w:rsidR="004B5388" w:rsidRPr="00602BEA" w:rsidRDefault="004B5388" w:rsidP="004B5388">
      <w:pPr>
        <w:pStyle w:val="Corpotesto"/>
        <w:tabs>
          <w:tab w:val="left" w:pos="540"/>
        </w:tabs>
        <w:spacing w:after="0" w:line="360" w:lineRule="exact"/>
        <w:ind w:firstLine="180"/>
        <w:jc w:val="both"/>
        <w:rPr>
          <w:rFonts w:asciiTheme="minorHAnsi" w:hAnsiTheme="minorHAnsi" w:cstheme="minorHAnsi"/>
          <w:b/>
          <w:color w:val="000000"/>
        </w:rPr>
      </w:pPr>
    </w:p>
    <w:p w:rsidR="0087532C" w:rsidRPr="00602BEA" w:rsidRDefault="0087532C" w:rsidP="004B5388">
      <w:pPr>
        <w:pStyle w:val="Corpotesto"/>
        <w:tabs>
          <w:tab w:val="left" w:pos="540"/>
        </w:tabs>
        <w:spacing w:after="0" w:line="360" w:lineRule="exact"/>
        <w:ind w:firstLine="180"/>
        <w:jc w:val="both"/>
        <w:rPr>
          <w:rFonts w:asciiTheme="minorHAnsi" w:hAnsiTheme="minorHAnsi" w:cstheme="minorHAnsi"/>
          <w:color w:val="000000"/>
        </w:rPr>
      </w:pPr>
      <w:r w:rsidRPr="00602BEA">
        <w:rPr>
          <w:rFonts w:asciiTheme="minorHAnsi" w:hAnsiTheme="minorHAnsi" w:cstheme="minorHAnsi"/>
          <w:b/>
          <w:color w:val="000000"/>
        </w:rPr>
        <w:t>Art. 2. Oggetto.</w:t>
      </w:r>
    </w:p>
    <w:p w:rsidR="0087532C" w:rsidRPr="00602BEA" w:rsidRDefault="0087532C" w:rsidP="00BF5141">
      <w:pPr>
        <w:widowControl/>
        <w:tabs>
          <w:tab w:val="left" w:pos="600"/>
        </w:tabs>
        <w:spacing w:line="360" w:lineRule="exact"/>
        <w:jc w:val="both"/>
        <w:rPr>
          <w:rFonts w:asciiTheme="minorHAnsi" w:hAnsiTheme="minorHAnsi" w:cstheme="minorHAnsi"/>
          <w:b/>
          <w:color w:val="000000"/>
        </w:rPr>
      </w:pPr>
      <w:r w:rsidRPr="00602BEA">
        <w:rPr>
          <w:rFonts w:asciiTheme="minorHAnsi" w:hAnsiTheme="minorHAnsi" w:cstheme="minorHAnsi"/>
          <w:color w:val="000000"/>
        </w:rPr>
        <w:t xml:space="preserve">Con la presente convenzione, tra </w:t>
      </w:r>
      <w:r w:rsidR="002530BB" w:rsidRPr="00602BEA">
        <w:rPr>
          <w:rFonts w:asciiTheme="minorHAnsi" w:hAnsiTheme="minorHAnsi" w:cstheme="minorHAnsi"/>
        </w:rPr>
        <w:t xml:space="preserve">i Comuni di </w:t>
      </w:r>
      <w:r w:rsidR="00BF5141">
        <w:rPr>
          <w:rFonts w:asciiTheme="minorHAnsi" w:hAnsiTheme="minorHAnsi" w:cstheme="minorHAnsi"/>
        </w:rPr>
        <w:t xml:space="preserve">Codigoro, Comacchio, Fiscaglia, Goro, Lagosanto, Mesola, Jolanda di Savoia, Vigarano Mainarda, </w:t>
      </w:r>
      <w:r w:rsidR="00BF5141" w:rsidRPr="00602BEA">
        <w:rPr>
          <w:rFonts w:asciiTheme="minorHAnsi" w:hAnsiTheme="minorHAnsi" w:cstheme="minorHAnsi"/>
        </w:rPr>
        <w:t>l’Unione Terre e Fiumi (d’ora innanzi semplicemente “gli Enti”) e la Provincia di Ferrara</w:t>
      </w:r>
      <w:r w:rsidR="00BF5141">
        <w:rPr>
          <w:rFonts w:asciiTheme="minorHAnsi" w:hAnsiTheme="minorHAnsi" w:cstheme="minorHAnsi"/>
        </w:rPr>
        <w:t xml:space="preserve"> </w:t>
      </w:r>
      <w:r w:rsidRPr="00602BEA">
        <w:rPr>
          <w:rFonts w:asciiTheme="minorHAnsi" w:hAnsiTheme="minorHAnsi" w:cstheme="minorHAnsi"/>
          <w:color w:val="000000"/>
        </w:rPr>
        <w:t>viene costituito, ai sensi dell’art. 30 del d.lgs. 267/2000, il Servizio Associato per le funzioni sismiche (d’ora innanzi semplicemente “Servizio associato sismica”, in acronimo “SAS”) disciplinate dalla legge regionale 19/2008. Gli aderenti individuano a ogni fine la Provincia di Ferrara quale ente capofila, presso il quale il SAS avrà sede.</w:t>
      </w:r>
    </w:p>
    <w:p w:rsidR="004B5388" w:rsidRPr="00602BEA" w:rsidRDefault="004B5388" w:rsidP="004B5388">
      <w:pPr>
        <w:pStyle w:val="Corpotesto"/>
        <w:tabs>
          <w:tab w:val="left" w:pos="540"/>
        </w:tabs>
        <w:spacing w:after="0" w:line="360" w:lineRule="exact"/>
        <w:ind w:firstLine="180"/>
        <w:jc w:val="both"/>
        <w:rPr>
          <w:rFonts w:asciiTheme="minorHAnsi" w:hAnsiTheme="minorHAnsi" w:cstheme="minorHAnsi"/>
          <w:b/>
          <w:color w:val="000000"/>
        </w:rPr>
      </w:pPr>
    </w:p>
    <w:p w:rsidR="0087532C" w:rsidRPr="00602BEA" w:rsidRDefault="0087532C" w:rsidP="004B5388">
      <w:pPr>
        <w:pStyle w:val="Corpotesto"/>
        <w:tabs>
          <w:tab w:val="left" w:pos="540"/>
        </w:tabs>
        <w:spacing w:after="0" w:line="360" w:lineRule="exact"/>
        <w:ind w:firstLine="180"/>
        <w:jc w:val="both"/>
        <w:rPr>
          <w:rFonts w:asciiTheme="minorHAnsi" w:hAnsiTheme="minorHAnsi" w:cstheme="minorHAnsi"/>
          <w:color w:val="000000"/>
        </w:rPr>
      </w:pPr>
      <w:r w:rsidRPr="00602BEA">
        <w:rPr>
          <w:rFonts w:asciiTheme="minorHAnsi" w:hAnsiTheme="minorHAnsi" w:cstheme="minorHAnsi"/>
          <w:b/>
          <w:color w:val="000000"/>
        </w:rPr>
        <w:t>Art. 3. Competenze.</w:t>
      </w:r>
    </w:p>
    <w:p w:rsidR="0087532C" w:rsidRPr="00602BEA" w:rsidRDefault="0087532C" w:rsidP="004B5388">
      <w:pPr>
        <w:pStyle w:val="Corpotesto"/>
        <w:tabs>
          <w:tab w:val="left" w:pos="540"/>
        </w:tabs>
        <w:spacing w:after="0" w:line="360" w:lineRule="exact"/>
        <w:ind w:firstLine="180"/>
        <w:jc w:val="both"/>
        <w:rPr>
          <w:rFonts w:asciiTheme="minorHAnsi" w:hAnsiTheme="minorHAnsi" w:cstheme="minorHAnsi"/>
          <w:color w:val="000000"/>
        </w:rPr>
      </w:pPr>
      <w:r w:rsidRPr="00602BEA">
        <w:rPr>
          <w:rFonts w:asciiTheme="minorHAnsi" w:hAnsiTheme="minorHAnsi" w:cstheme="minorHAnsi"/>
          <w:color w:val="000000"/>
        </w:rPr>
        <w:t>Il SAS svolgerà in nome e per conto degli Enti aderenti le seguenti funzioni:</w:t>
      </w:r>
    </w:p>
    <w:p w:rsidR="0087532C" w:rsidRPr="00602BEA" w:rsidRDefault="001036AB" w:rsidP="004B5388">
      <w:pPr>
        <w:pStyle w:val="Corpotesto"/>
        <w:numPr>
          <w:ilvl w:val="0"/>
          <w:numId w:val="2"/>
        </w:numPr>
        <w:tabs>
          <w:tab w:val="left" w:pos="540"/>
        </w:tabs>
        <w:spacing w:after="0" w:line="360" w:lineRule="exact"/>
        <w:ind w:left="0" w:firstLine="180"/>
        <w:jc w:val="both"/>
        <w:rPr>
          <w:rFonts w:asciiTheme="minorHAnsi" w:hAnsiTheme="minorHAnsi" w:cstheme="minorHAnsi"/>
          <w:kern w:val="0"/>
        </w:rPr>
      </w:pPr>
      <w:r w:rsidRPr="00602BEA">
        <w:rPr>
          <w:rFonts w:asciiTheme="minorHAnsi" w:hAnsiTheme="minorHAnsi" w:cstheme="minorHAnsi"/>
          <w:color w:val="000000"/>
        </w:rPr>
        <w:t>rilascio delle autorizzazioni</w:t>
      </w:r>
      <w:r w:rsidR="0087532C" w:rsidRPr="00602BEA">
        <w:rPr>
          <w:rFonts w:asciiTheme="minorHAnsi" w:hAnsiTheme="minorHAnsi" w:cstheme="minorHAnsi"/>
          <w:color w:val="000000"/>
        </w:rPr>
        <w:t xml:space="preserve"> sismiche di cui all’art. 11 della </w:t>
      </w:r>
      <w:r w:rsidR="0087532C" w:rsidRPr="00602BEA">
        <w:rPr>
          <w:rFonts w:asciiTheme="minorHAnsi" w:hAnsiTheme="minorHAnsi" w:cstheme="minorHAnsi"/>
          <w:kern w:val="0"/>
        </w:rPr>
        <w:t>legge regionale;</w:t>
      </w:r>
    </w:p>
    <w:p w:rsidR="0087532C" w:rsidRPr="00602BEA" w:rsidRDefault="0087532C" w:rsidP="004B5388">
      <w:pPr>
        <w:pStyle w:val="Corpotesto"/>
        <w:numPr>
          <w:ilvl w:val="0"/>
          <w:numId w:val="2"/>
        </w:numPr>
        <w:tabs>
          <w:tab w:val="left" w:pos="540"/>
        </w:tabs>
        <w:spacing w:after="0" w:line="360" w:lineRule="exact"/>
        <w:ind w:left="0" w:firstLine="180"/>
        <w:jc w:val="both"/>
        <w:rPr>
          <w:rFonts w:asciiTheme="minorHAnsi" w:hAnsiTheme="minorHAnsi" w:cstheme="minorHAnsi"/>
          <w:b/>
          <w:color w:val="000000"/>
        </w:rPr>
      </w:pPr>
      <w:r w:rsidRPr="00602BEA">
        <w:rPr>
          <w:rFonts w:asciiTheme="minorHAnsi" w:hAnsiTheme="minorHAnsi" w:cstheme="minorHAnsi"/>
          <w:kern w:val="0"/>
        </w:rPr>
        <w:t>effettuazione delle verifiche sismiche sui depositi di cui all’art. 13 della legge regionale;</w:t>
      </w:r>
    </w:p>
    <w:p w:rsidR="0087532C" w:rsidRPr="00602BEA" w:rsidRDefault="0087532C" w:rsidP="004B5388">
      <w:pPr>
        <w:pStyle w:val="Corpotesto"/>
        <w:numPr>
          <w:ilvl w:val="0"/>
          <w:numId w:val="2"/>
        </w:numPr>
        <w:tabs>
          <w:tab w:val="left" w:pos="540"/>
        </w:tabs>
        <w:spacing w:after="0" w:line="360" w:lineRule="exact"/>
        <w:ind w:left="0" w:firstLine="180"/>
        <w:jc w:val="both"/>
        <w:rPr>
          <w:rFonts w:asciiTheme="minorHAnsi" w:hAnsiTheme="minorHAnsi" w:cstheme="minorHAnsi"/>
          <w:b/>
          <w:color w:val="000000"/>
        </w:rPr>
      </w:pPr>
      <w:r w:rsidRPr="00602BEA">
        <w:rPr>
          <w:rFonts w:asciiTheme="minorHAnsi" w:hAnsiTheme="minorHAnsi" w:cstheme="minorHAnsi"/>
          <w:kern w:val="0"/>
        </w:rPr>
        <w:t>assistenza e consulenza ai comuni in materia sismica;</w:t>
      </w:r>
    </w:p>
    <w:p w:rsidR="0087532C" w:rsidRPr="00602BEA" w:rsidRDefault="0087532C" w:rsidP="004B5388">
      <w:pPr>
        <w:pStyle w:val="Corpotesto"/>
        <w:numPr>
          <w:ilvl w:val="0"/>
          <w:numId w:val="2"/>
        </w:numPr>
        <w:tabs>
          <w:tab w:val="left" w:pos="540"/>
        </w:tabs>
        <w:spacing w:after="0" w:line="360" w:lineRule="exact"/>
        <w:ind w:left="0" w:firstLine="180"/>
        <w:jc w:val="both"/>
        <w:rPr>
          <w:rFonts w:asciiTheme="minorHAnsi" w:hAnsiTheme="minorHAnsi" w:cstheme="minorHAnsi"/>
          <w:b/>
          <w:color w:val="000000"/>
        </w:rPr>
      </w:pPr>
      <w:r w:rsidRPr="00602BEA">
        <w:rPr>
          <w:rFonts w:asciiTheme="minorHAnsi" w:hAnsiTheme="minorHAnsi" w:cstheme="minorHAnsi"/>
          <w:kern w:val="0"/>
        </w:rPr>
        <w:t>gestione, in via non esclusiva dei rapporti con la Regione Emilia-Romagna in materia sismica;</w:t>
      </w:r>
    </w:p>
    <w:p w:rsidR="0087532C" w:rsidRPr="00602BEA" w:rsidRDefault="0087532C" w:rsidP="004B5388">
      <w:pPr>
        <w:pStyle w:val="Corpotesto"/>
        <w:numPr>
          <w:ilvl w:val="0"/>
          <w:numId w:val="2"/>
        </w:numPr>
        <w:tabs>
          <w:tab w:val="left" w:pos="540"/>
        </w:tabs>
        <w:spacing w:after="0" w:line="360" w:lineRule="exact"/>
        <w:ind w:left="0" w:firstLine="180"/>
        <w:jc w:val="both"/>
        <w:rPr>
          <w:rFonts w:asciiTheme="minorHAnsi" w:hAnsiTheme="minorHAnsi" w:cstheme="minorHAnsi"/>
          <w:b/>
          <w:color w:val="000000"/>
        </w:rPr>
      </w:pPr>
      <w:r w:rsidRPr="00602BEA">
        <w:rPr>
          <w:rFonts w:asciiTheme="minorHAnsi" w:hAnsiTheme="minorHAnsi" w:cstheme="minorHAnsi"/>
          <w:kern w:val="0"/>
        </w:rPr>
        <w:t>attività complementari e accessorie alle funzioni prima elencate</w:t>
      </w:r>
      <w:r w:rsidRPr="00602BEA">
        <w:rPr>
          <w:rFonts w:asciiTheme="minorHAnsi" w:hAnsiTheme="minorHAnsi" w:cstheme="minorHAnsi"/>
          <w:color w:val="000000"/>
        </w:rPr>
        <w:t xml:space="preserve">. </w:t>
      </w:r>
    </w:p>
    <w:p w:rsidR="0087532C" w:rsidRPr="00602BEA" w:rsidRDefault="0087532C" w:rsidP="00F670F8">
      <w:pPr>
        <w:pStyle w:val="Corpotesto"/>
        <w:tabs>
          <w:tab w:val="left" w:pos="540"/>
        </w:tabs>
        <w:spacing w:after="0" w:line="360" w:lineRule="exact"/>
        <w:jc w:val="both"/>
        <w:rPr>
          <w:rFonts w:asciiTheme="minorHAnsi" w:hAnsiTheme="minorHAnsi" w:cstheme="minorHAnsi"/>
          <w:color w:val="000000"/>
        </w:rPr>
      </w:pPr>
      <w:r w:rsidRPr="00602BEA">
        <w:rPr>
          <w:rFonts w:asciiTheme="minorHAnsi" w:hAnsiTheme="minorHAnsi" w:cstheme="minorHAnsi"/>
          <w:color w:val="000000"/>
        </w:rPr>
        <w:t>Le predette competenze possono essere integrate, senza necessità di modificare la presente convenzione secondo quanto previsto dal successivo art. 8.</w:t>
      </w:r>
    </w:p>
    <w:p w:rsidR="004B5388" w:rsidRPr="00602BEA" w:rsidRDefault="004B5388" w:rsidP="004B5388">
      <w:pPr>
        <w:pStyle w:val="Corpotesto"/>
        <w:tabs>
          <w:tab w:val="left" w:pos="540"/>
        </w:tabs>
        <w:spacing w:after="0" w:line="360" w:lineRule="exact"/>
        <w:ind w:firstLine="180"/>
        <w:jc w:val="both"/>
        <w:rPr>
          <w:rFonts w:asciiTheme="minorHAnsi" w:hAnsiTheme="minorHAnsi" w:cstheme="minorHAnsi"/>
          <w:b/>
          <w:color w:val="000000"/>
        </w:rPr>
      </w:pPr>
    </w:p>
    <w:p w:rsidR="0087532C" w:rsidRPr="00602BEA" w:rsidRDefault="0087532C" w:rsidP="004B5388">
      <w:pPr>
        <w:pStyle w:val="Corpotesto"/>
        <w:tabs>
          <w:tab w:val="left" w:pos="540"/>
        </w:tabs>
        <w:spacing w:after="0" w:line="360" w:lineRule="exact"/>
        <w:ind w:firstLine="180"/>
        <w:jc w:val="both"/>
        <w:rPr>
          <w:rFonts w:asciiTheme="minorHAnsi" w:hAnsiTheme="minorHAnsi" w:cstheme="minorHAnsi"/>
          <w:color w:val="000000"/>
        </w:rPr>
      </w:pPr>
      <w:r w:rsidRPr="00602BEA">
        <w:rPr>
          <w:rFonts w:asciiTheme="minorHAnsi" w:hAnsiTheme="minorHAnsi" w:cstheme="minorHAnsi"/>
          <w:b/>
          <w:color w:val="000000"/>
        </w:rPr>
        <w:t>Art. 4. Modalità operative.</w:t>
      </w:r>
    </w:p>
    <w:p w:rsidR="0087532C" w:rsidRPr="00602BEA" w:rsidRDefault="0087532C" w:rsidP="00F670F8">
      <w:pPr>
        <w:pStyle w:val="Corpotesto"/>
        <w:tabs>
          <w:tab w:val="left" w:pos="540"/>
        </w:tabs>
        <w:spacing w:after="0" w:line="360" w:lineRule="exact"/>
        <w:jc w:val="both"/>
        <w:rPr>
          <w:rFonts w:asciiTheme="minorHAnsi" w:hAnsiTheme="minorHAnsi" w:cstheme="minorHAnsi"/>
          <w:color w:val="000000"/>
        </w:rPr>
      </w:pPr>
      <w:r w:rsidRPr="00602BEA">
        <w:rPr>
          <w:rFonts w:asciiTheme="minorHAnsi" w:hAnsiTheme="minorHAnsi" w:cstheme="minorHAnsi"/>
          <w:color w:val="000000"/>
        </w:rPr>
        <w:t xml:space="preserve">Nello svolgimento delle attività sopra indicate, il SAS si atterrà alle disposizioni della legge regionale </w:t>
      </w:r>
      <w:r w:rsidR="00172522" w:rsidRPr="00063A2D">
        <w:rPr>
          <w:rFonts w:asciiTheme="minorHAnsi" w:hAnsiTheme="minorHAnsi" w:cstheme="minorHAnsi"/>
        </w:rPr>
        <w:t xml:space="preserve">19/2008 e successive modifiche e integrazioni e degli atti di indirizzo attuativi della stessa. </w:t>
      </w:r>
      <w:r w:rsidRPr="00063A2D">
        <w:rPr>
          <w:rFonts w:asciiTheme="minorHAnsi" w:hAnsiTheme="minorHAnsi" w:cstheme="minorHAnsi"/>
        </w:rPr>
        <w:t xml:space="preserve">Il dirigente </w:t>
      </w:r>
      <w:r w:rsidRPr="00602BEA">
        <w:rPr>
          <w:rFonts w:asciiTheme="minorHAnsi" w:hAnsiTheme="minorHAnsi" w:cstheme="minorHAnsi"/>
          <w:color w:val="000000"/>
        </w:rPr>
        <w:t>preposto al SAS definisce, sentito il Comitato di coordinamento tecnico di cui al successivo art. 8, mediante propria circolare le modalità funzionamento del SAS, in particolare per quanto riguarda la gestio</w:t>
      </w:r>
      <w:r w:rsidR="001036AB" w:rsidRPr="00602BEA">
        <w:rPr>
          <w:rFonts w:asciiTheme="minorHAnsi" w:hAnsiTheme="minorHAnsi" w:cstheme="minorHAnsi"/>
          <w:color w:val="000000"/>
        </w:rPr>
        <w:t>ne delle pratiche e le relazioni</w:t>
      </w:r>
      <w:r w:rsidRPr="00602BEA">
        <w:rPr>
          <w:rFonts w:asciiTheme="minorHAnsi" w:hAnsiTheme="minorHAnsi" w:cstheme="minorHAnsi"/>
          <w:color w:val="000000"/>
        </w:rPr>
        <w:t xml:space="preserve"> con i professionisti. Resta in capo a ciascun Ente il controllo formale delle pratiche e edilizie e della completezza della documentazione.</w:t>
      </w:r>
    </w:p>
    <w:p w:rsidR="004B5388" w:rsidRPr="00602BEA" w:rsidRDefault="004B5388" w:rsidP="004B5388">
      <w:pPr>
        <w:pStyle w:val="Corpotesto"/>
        <w:tabs>
          <w:tab w:val="left" w:pos="540"/>
        </w:tabs>
        <w:spacing w:after="0" w:line="360" w:lineRule="exact"/>
        <w:ind w:firstLine="180"/>
        <w:jc w:val="both"/>
        <w:rPr>
          <w:rFonts w:asciiTheme="minorHAnsi" w:hAnsiTheme="minorHAnsi" w:cstheme="minorHAnsi"/>
          <w:b/>
          <w:color w:val="000000"/>
        </w:rPr>
      </w:pPr>
    </w:p>
    <w:p w:rsidR="0087532C" w:rsidRPr="00602BEA" w:rsidRDefault="0087532C" w:rsidP="004B5388">
      <w:pPr>
        <w:pStyle w:val="Corpotesto"/>
        <w:tabs>
          <w:tab w:val="left" w:pos="540"/>
        </w:tabs>
        <w:spacing w:after="0" w:line="360" w:lineRule="exact"/>
        <w:ind w:firstLine="180"/>
        <w:jc w:val="both"/>
        <w:rPr>
          <w:rFonts w:asciiTheme="minorHAnsi" w:hAnsiTheme="minorHAnsi" w:cstheme="minorHAnsi"/>
          <w:color w:val="000000"/>
        </w:rPr>
      </w:pPr>
      <w:r w:rsidRPr="00602BEA">
        <w:rPr>
          <w:rFonts w:asciiTheme="minorHAnsi" w:hAnsiTheme="minorHAnsi" w:cstheme="minorHAnsi"/>
          <w:b/>
          <w:color w:val="000000"/>
        </w:rPr>
        <w:t>Art. 5. Organizzazione.</w:t>
      </w:r>
    </w:p>
    <w:p w:rsidR="0087532C" w:rsidRPr="00602BEA" w:rsidRDefault="0087532C" w:rsidP="00F670F8">
      <w:pPr>
        <w:pStyle w:val="Corpotesto"/>
        <w:tabs>
          <w:tab w:val="left" w:pos="540"/>
        </w:tabs>
        <w:spacing w:after="0" w:line="360" w:lineRule="exact"/>
        <w:jc w:val="both"/>
        <w:rPr>
          <w:rFonts w:asciiTheme="minorHAnsi" w:hAnsiTheme="minorHAnsi" w:cstheme="minorHAnsi"/>
          <w:color w:val="000000"/>
        </w:rPr>
      </w:pPr>
      <w:r w:rsidRPr="00602BEA">
        <w:rPr>
          <w:rFonts w:asciiTheme="minorHAnsi" w:hAnsiTheme="minorHAnsi" w:cstheme="minorHAnsi"/>
          <w:color w:val="000000"/>
        </w:rPr>
        <w:t xml:space="preserve">Il SAS acquisirà le risorse umane dotate delle necessarie competenze tecniche ed amministrative in misura adeguata al volume di pratiche trasmesse dagli Enti, nel rispetto degli standard minimi di cui </w:t>
      </w:r>
      <w:r w:rsidR="00172522">
        <w:rPr>
          <w:rFonts w:asciiTheme="minorHAnsi" w:hAnsiTheme="minorHAnsi" w:cstheme="minorHAnsi"/>
          <w:color w:val="000000"/>
        </w:rPr>
        <w:t xml:space="preserve">alla </w:t>
      </w:r>
      <w:r w:rsidR="00172522" w:rsidRPr="00063A2D">
        <w:rPr>
          <w:rFonts w:asciiTheme="minorHAnsi" w:hAnsiTheme="minorHAnsi" w:cstheme="minorHAnsi"/>
        </w:rPr>
        <w:t>deliberazione della Giunta regionale n 1934/2018.</w:t>
      </w:r>
      <w:r w:rsidR="00063A2D">
        <w:rPr>
          <w:rFonts w:asciiTheme="minorHAnsi" w:hAnsiTheme="minorHAnsi" w:cstheme="minorHAnsi"/>
        </w:rPr>
        <w:t xml:space="preserve"> </w:t>
      </w:r>
      <w:r w:rsidRPr="00602BEA">
        <w:rPr>
          <w:rFonts w:asciiTheme="minorHAnsi" w:hAnsiTheme="minorHAnsi" w:cstheme="minorHAnsi"/>
          <w:color w:val="000000"/>
        </w:rPr>
        <w:t>Il SAS fa capo ad un responsabile con qualifica dirigenziale competente ad adottare gli atti conclusivi dei procedimenti di autorizzazione e verifica.</w:t>
      </w:r>
    </w:p>
    <w:p w:rsidR="0087532C" w:rsidRPr="00602BEA" w:rsidRDefault="0087532C" w:rsidP="00F670F8">
      <w:pPr>
        <w:pStyle w:val="Corpotesto"/>
        <w:tabs>
          <w:tab w:val="left" w:pos="540"/>
        </w:tabs>
        <w:spacing w:after="0" w:line="360" w:lineRule="exact"/>
        <w:jc w:val="both"/>
        <w:rPr>
          <w:rFonts w:asciiTheme="minorHAnsi" w:hAnsiTheme="minorHAnsi" w:cstheme="minorHAnsi"/>
          <w:color w:val="000000"/>
        </w:rPr>
      </w:pPr>
      <w:r w:rsidRPr="00602BEA">
        <w:rPr>
          <w:rFonts w:asciiTheme="minorHAnsi" w:hAnsiTheme="minorHAnsi" w:cstheme="minorHAnsi"/>
          <w:color w:val="000000"/>
        </w:rPr>
        <w:t>All’organizzazione del SAS si applica la disciplina della Provincia.</w:t>
      </w:r>
    </w:p>
    <w:p w:rsidR="0087532C" w:rsidRPr="00602BEA" w:rsidRDefault="0087532C" w:rsidP="00F670F8">
      <w:pPr>
        <w:pStyle w:val="Corpotesto"/>
        <w:tabs>
          <w:tab w:val="left" w:pos="540"/>
        </w:tabs>
        <w:spacing w:after="0" w:line="360" w:lineRule="exact"/>
        <w:jc w:val="both"/>
        <w:rPr>
          <w:rFonts w:asciiTheme="minorHAnsi" w:hAnsiTheme="minorHAnsi" w:cstheme="minorHAnsi"/>
          <w:color w:val="000000"/>
        </w:rPr>
      </w:pPr>
      <w:r w:rsidRPr="00602BEA">
        <w:rPr>
          <w:rFonts w:asciiTheme="minorHAnsi" w:hAnsiTheme="minorHAnsi" w:cstheme="minorHAnsi"/>
          <w:color w:val="000000"/>
        </w:rPr>
        <w:t>Fermo restando la responsabilità in capo al dirigente, il SAS potrà avvalersi di prestazioni esterne, anche in forma di appalto di servizi, per l’evasione delle pratiche di competenza.</w:t>
      </w:r>
    </w:p>
    <w:p w:rsidR="004B5388" w:rsidRPr="00602BEA" w:rsidRDefault="004B5388" w:rsidP="004B5388">
      <w:pPr>
        <w:pStyle w:val="Corpotesto"/>
        <w:tabs>
          <w:tab w:val="left" w:pos="540"/>
        </w:tabs>
        <w:spacing w:after="0" w:line="360" w:lineRule="exact"/>
        <w:ind w:firstLine="180"/>
        <w:jc w:val="both"/>
        <w:rPr>
          <w:rFonts w:asciiTheme="minorHAnsi" w:hAnsiTheme="minorHAnsi" w:cstheme="minorHAnsi"/>
          <w:b/>
          <w:color w:val="000000"/>
        </w:rPr>
      </w:pPr>
    </w:p>
    <w:p w:rsidR="0087532C" w:rsidRPr="00602BEA" w:rsidRDefault="0087532C" w:rsidP="004B5388">
      <w:pPr>
        <w:pStyle w:val="Corpotesto"/>
        <w:tabs>
          <w:tab w:val="left" w:pos="540"/>
        </w:tabs>
        <w:spacing w:after="0" w:line="360" w:lineRule="exact"/>
        <w:ind w:firstLine="180"/>
        <w:jc w:val="both"/>
        <w:rPr>
          <w:rFonts w:asciiTheme="minorHAnsi" w:hAnsiTheme="minorHAnsi" w:cstheme="minorHAnsi"/>
          <w:color w:val="000000"/>
        </w:rPr>
      </w:pPr>
      <w:r w:rsidRPr="00602BEA">
        <w:rPr>
          <w:rFonts w:asciiTheme="minorHAnsi" w:hAnsiTheme="minorHAnsi" w:cstheme="minorHAnsi"/>
          <w:b/>
          <w:color w:val="000000"/>
        </w:rPr>
        <w:t>Art. 6. Piano economico-finanziario.</w:t>
      </w:r>
    </w:p>
    <w:p w:rsidR="0087532C" w:rsidRPr="00602BEA" w:rsidRDefault="0087532C" w:rsidP="00F670F8">
      <w:pPr>
        <w:pStyle w:val="Corpotesto"/>
        <w:tabs>
          <w:tab w:val="left" w:pos="540"/>
        </w:tabs>
        <w:spacing w:after="0" w:line="360" w:lineRule="exact"/>
        <w:jc w:val="both"/>
        <w:rPr>
          <w:rFonts w:asciiTheme="minorHAnsi" w:hAnsiTheme="minorHAnsi" w:cstheme="minorHAnsi"/>
          <w:color w:val="000000"/>
        </w:rPr>
      </w:pPr>
      <w:r w:rsidRPr="00602BEA">
        <w:rPr>
          <w:rFonts w:asciiTheme="minorHAnsi" w:hAnsiTheme="minorHAnsi" w:cstheme="minorHAnsi"/>
          <w:color w:val="000000"/>
        </w:rPr>
        <w:t>Il SAS è finanziato mediante:</w:t>
      </w:r>
    </w:p>
    <w:p w:rsidR="0087532C" w:rsidRPr="00602BEA" w:rsidRDefault="0087532C" w:rsidP="004B5388">
      <w:pPr>
        <w:pStyle w:val="Corpotesto"/>
        <w:numPr>
          <w:ilvl w:val="0"/>
          <w:numId w:val="2"/>
        </w:numPr>
        <w:tabs>
          <w:tab w:val="left" w:pos="540"/>
        </w:tabs>
        <w:spacing w:after="0" w:line="360" w:lineRule="exact"/>
        <w:ind w:left="0" w:firstLine="180"/>
        <w:jc w:val="both"/>
        <w:rPr>
          <w:rFonts w:asciiTheme="minorHAnsi" w:hAnsiTheme="minorHAnsi" w:cstheme="minorHAnsi"/>
          <w:color w:val="000000"/>
        </w:rPr>
      </w:pPr>
      <w:r w:rsidRPr="00602BEA">
        <w:rPr>
          <w:rFonts w:asciiTheme="minorHAnsi" w:hAnsiTheme="minorHAnsi" w:cstheme="minorHAnsi"/>
          <w:color w:val="000000"/>
        </w:rPr>
        <w:lastRenderedPageBreak/>
        <w:t xml:space="preserve">il versamento diretto alla Provincia da parte dei richiedenti dei rimborsi forfettari di cui alla deliberazione della </w:t>
      </w:r>
      <w:r w:rsidR="007D5752">
        <w:rPr>
          <w:rFonts w:asciiTheme="minorHAnsi" w:hAnsiTheme="minorHAnsi" w:cstheme="minorHAnsi"/>
          <w:color w:val="000000"/>
        </w:rPr>
        <w:t>G</w:t>
      </w:r>
      <w:r w:rsidRPr="00602BEA">
        <w:rPr>
          <w:rFonts w:asciiTheme="minorHAnsi" w:hAnsiTheme="minorHAnsi" w:cstheme="minorHAnsi"/>
          <w:color w:val="000000"/>
        </w:rPr>
        <w:t xml:space="preserve">iunta regionale n. </w:t>
      </w:r>
      <w:r w:rsidR="00172522" w:rsidRPr="00063A2D">
        <w:rPr>
          <w:rFonts w:asciiTheme="minorHAnsi" w:hAnsiTheme="minorHAnsi" w:cstheme="minorHAnsi"/>
        </w:rPr>
        <w:t xml:space="preserve">1934/2018 </w:t>
      </w:r>
      <w:r w:rsidRPr="00602BEA">
        <w:rPr>
          <w:rFonts w:asciiTheme="minorHAnsi" w:hAnsiTheme="minorHAnsi" w:cstheme="minorHAnsi"/>
          <w:color w:val="000000"/>
        </w:rPr>
        <w:t>e successivi aggiornamenti e adeguamenti; a tale scopo l’ufficio di ciascun comune competente alle ricezioni delle pratiche, verifica l’avvenuto corretto versamento del rimborso per ciascuna tipologia;</w:t>
      </w:r>
    </w:p>
    <w:p w:rsidR="0087532C" w:rsidRPr="00602BEA" w:rsidRDefault="0087532C" w:rsidP="004B5388">
      <w:pPr>
        <w:pStyle w:val="Corpotesto"/>
        <w:numPr>
          <w:ilvl w:val="0"/>
          <w:numId w:val="2"/>
        </w:numPr>
        <w:tabs>
          <w:tab w:val="left" w:pos="540"/>
        </w:tabs>
        <w:spacing w:after="0" w:line="360" w:lineRule="exact"/>
        <w:ind w:left="0" w:firstLine="180"/>
        <w:jc w:val="both"/>
        <w:rPr>
          <w:rFonts w:asciiTheme="minorHAnsi" w:hAnsiTheme="minorHAnsi" w:cstheme="minorHAnsi"/>
          <w:color w:val="000000"/>
        </w:rPr>
      </w:pPr>
      <w:r w:rsidRPr="00602BEA">
        <w:rPr>
          <w:rFonts w:asciiTheme="minorHAnsi" w:hAnsiTheme="minorHAnsi" w:cstheme="minorHAnsi"/>
          <w:color w:val="000000"/>
        </w:rPr>
        <w:t>dei contributi versati direttamente dagli Enti a copertura integrale della spesa.</w:t>
      </w:r>
    </w:p>
    <w:p w:rsidR="0087532C" w:rsidRPr="00602BEA" w:rsidRDefault="0087532C" w:rsidP="004B5388">
      <w:pPr>
        <w:pStyle w:val="Corpotesto"/>
        <w:tabs>
          <w:tab w:val="left" w:pos="540"/>
        </w:tabs>
        <w:spacing w:after="0" w:line="360" w:lineRule="exact"/>
        <w:ind w:firstLine="180"/>
        <w:jc w:val="both"/>
        <w:rPr>
          <w:rFonts w:asciiTheme="minorHAnsi" w:hAnsiTheme="minorHAnsi" w:cstheme="minorHAnsi"/>
          <w:color w:val="000000"/>
        </w:rPr>
      </w:pPr>
      <w:r w:rsidRPr="00602BEA">
        <w:rPr>
          <w:rFonts w:asciiTheme="minorHAnsi" w:hAnsiTheme="minorHAnsi" w:cstheme="minorHAnsi"/>
          <w:color w:val="000000"/>
        </w:rPr>
        <w:t xml:space="preserve">I criteri puntuali per il calcolo del contributo in capo a ciascun ente aderente sono determinati dal Comitato di indirizzo di cui al successivo art. 8 tenendo conto della dimensione demografica, della classe simica di appartenenza e del numero di verifiche svolte dal SAS. </w:t>
      </w:r>
    </w:p>
    <w:p w:rsidR="002530BB" w:rsidRPr="00446A7A" w:rsidRDefault="002530BB" w:rsidP="00F670F8">
      <w:pPr>
        <w:pStyle w:val="Corpotesto"/>
        <w:tabs>
          <w:tab w:val="left" w:pos="540"/>
        </w:tabs>
        <w:spacing w:after="0" w:line="360" w:lineRule="exact"/>
        <w:jc w:val="both"/>
        <w:rPr>
          <w:rFonts w:asciiTheme="minorHAnsi" w:hAnsiTheme="minorHAnsi" w:cstheme="minorHAnsi"/>
          <w:b/>
          <w:u w:val="single"/>
        </w:rPr>
      </w:pPr>
      <w:r w:rsidRPr="00602BEA">
        <w:rPr>
          <w:rFonts w:asciiTheme="minorHAnsi" w:hAnsiTheme="minorHAnsi" w:cstheme="minorHAnsi"/>
        </w:rPr>
        <w:t xml:space="preserve">In sede di prima applicazione si fa riferimento alla </w:t>
      </w:r>
      <w:r w:rsidR="00446A7A">
        <w:rPr>
          <w:rFonts w:asciiTheme="minorHAnsi" w:hAnsiTheme="minorHAnsi" w:cstheme="minorHAnsi"/>
          <w:b/>
          <w:u w:val="single"/>
        </w:rPr>
        <w:t>T</w:t>
      </w:r>
      <w:r w:rsidRPr="00446A7A">
        <w:rPr>
          <w:rFonts w:asciiTheme="minorHAnsi" w:hAnsiTheme="minorHAnsi" w:cstheme="minorHAnsi"/>
          <w:b/>
          <w:u w:val="single"/>
        </w:rPr>
        <w:t>abella di cui all’allegato</w:t>
      </w:r>
      <w:r w:rsidR="00446A7A">
        <w:rPr>
          <w:rFonts w:asciiTheme="minorHAnsi" w:hAnsiTheme="minorHAnsi" w:cstheme="minorHAnsi"/>
          <w:b/>
          <w:u w:val="single"/>
        </w:rPr>
        <w:t xml:space="preserve"> </w:t>
      </w:r>
      <w:r w:rsidRPr="00446A7A">
        <w:rPr>
          <w:rFonts w:asciiTheme="minorHAnsi" w:hAnsiTheme="minorHAnsi" w:cstheme="minorHAnsi"/>
          <w:b/>
          <w:u w:val="single"/>
        </w:rPr>
        <w:t>1</w:t>
      </w:r>
      <w:r w:rsidR="00F670F8">
        <w:rPr>
          <w:rFonts w:asciiTheme="minorHAnsi" w:hAnsiTheme="minorHAnsi" w:cstheme="minorHAnsi"/>
          <w:b/>
          <w:u w:val="single"/>
        </w:rPr>
        <w:t>)</w:t>
      </w:r>
      <w:r w:rsidRPr="00446A7A">
        <w:rPr>
          <w:rFonts w:asciiTheme="minorHAnsi" w:hAnsiTheme="minorHAnsi" w:cstheme="minorHAnsi"/>
          <w:b/>
          <w:u w:val="single"/>
        </w:rPr>
        <w:t>.</w:t>
      </w:r>
    </w:p>
    <w:p w:rsidR="0087532C" w:rsidRPr="00602BEA" w:rsidRDefault="0087532C" w:rsidP="00F670F8">
      <w:pPr>
        <w:pStyle w:val="Corpotesto"/>
        <w:tabs>
          <w:tab w:val="left" w:pos="540"/>
        </w:tabs>
        <w:spacing w:after="0" w:line="360" w:lineRule="exact"/>
        <w:jc w:val="both"/>
        <w:rPr>
          <w:rFonts w:asciiTheme="minorHAnsi" w:hAnsiTheme="minorHAnsi" w:cstheme="minorHAnsi"/>
          <w:color w:val="000000"/>
        </w:rPr>
      </w:pPr>
      <w:r w:rsidRPr="00602BEA">
        <w:rPr>
          <w:rFonts w:asciiTheme="minorHAnsi" w:hAnsiTheme="minorHAnsi" w:cstheme="minorHAnsi"/>
          <w:color w:val="000000"/>
        </w:rPr>
        <w:t>Il contributo è definito annualmente ed erogato dagli Enti alla Provincia in unica soluzione entro il 30/6 di ciascun anno, fatto salvo eventu</w:t>
      </w:r>
      <w:r w:rsidR="003A238C">
        <w:rPr>
          <w:rFonts w:asciiTheme="minorHAnsi" w:hAnsiTheme="minorHAnsi" w:cstheme="minorHAnsi"/>
          <w:color w:val="000000"/>
        </w:rPr>
        <w:t xml:space="preserve">ali conguagli, attivi e passivi, relativi anche alle spese generali, </w:t>
      </w:r>
      <w:r w:rsidRPr="00602BEA">
        <w:rPr>
          <w:rFonts w:asciiTheme="minorHAnsi" w:hAnsiTheme="minorHAnsi" w:cstheme="minorHAnsi"/>
          <w:color w:val="000000"/>
        </w:rPr>
        <w:t>che saranno comunicati dal SAS entro il 31/3 relativamente all’anno precedente.</w:t>
      </w:r>
    </w:p>
    <w:p w:rsidR="004B5388" w:rsidRPr="00602BEA" w:rsidRDefault="004B5388" w:rsidP="004B5388">
      <w:pPr>
        <w:pStyle w:val="Corpotesto"/>
        <w:tabs>
          <w:tab w:val="left" w:pos="540"/>
        </w:tabs>
        <w:spacing w:after="0" w:line="360" w:lineRule="exact"/>
        <w:ind w:firstLine="180"/>
        <w:jc w:val="both"/>
        <w:rPr>
          <w:rFonts w:asciiTheme="minorHAnsi" w:hAnsiTheme="minorHAnsi" w:cstheme="minorHAnsi"/>
          <w:b/>
          <w:color w:val="000000"/>
        </w:rPr>
      </w:pPr>
    </w:p>
    <w:p w:rsidR="0087532C" w:rsidRPr="00602BEA" w:rsidRDefault="0087532C" w:rsidP="004B5388">
      <w:pPr>
        <w:pStyle w:val="Corpotesto"/>
        <w:tabs>
          <w:tab w:val="left" w:pos="540"/>
        </w:tabs>
        <w:spacing w:after="0" w:line="360" w:lineRule="exact"/>
        <w:ind w:firstLine="180"/>
        <w:jc w:val="both"/>
        <w:rPr>
          <w:rFonts w:asciiTheme="minorHAnsi" w:hAnsiTheme="minorHAnsi" w:cstheme="minorHAnsi"/>
          <w:color w:val="000000"/>
        </w:rPr>
      </w:pPr>
      <w:r w:rsidRPr="00602BEA">
        <w:rPr>
          <w:rFonts w:asciiTheme="minorHAnsi" w:hAnsiTheme="minorHAnsi" w:cstheme="minorHAnsi"/>
          <w:b/>
          <w:color w:val="000000"/>
        </w:rPr>
        <w:t>Art. 7. Attribuzioni dell’ente capofila.</w:t>
      </w:r>
    </w:p>
    <w:p w:rsidR="004B5388" w:rsidRPr="00602BEA" w:rsidRDefault="0087532C" w:rsidP="00F670F8">
      <w:pPr>
        <w:pStyle w:val="Corpotesto"/>
        <w:tabs>
          <w:tab w:val="left" w:pos="540"/>
        </w:tabs>
        <w:spacing w:after="0" w:line="360" w:lineRule="exact"/>
        <w:jc w:val="both"/>
        <w:rPr>
          <w:rFonts w:asciiTheme="minorHAnsi" w:hAnsiTheme="minorHAnsi" w:cstheme="minorHAnsi"/>
          <w:b/>
          <w:color w:val="000000"/>
        </w:rPr>
      </w:pPr>
      <w:r w:rsidRPr="00602BEA">
        <w:rPr>
          <w:rFonts w:asciiTheme="minorHAnsi" w:hAnsiTheme="minorHAnsi" w:cstheme="minorHAnsi"/>
          <w:color w:val="000000"/>
        </w:rPr>
        <w:t>Oltre ad adottare gli atti di cui al precedente art. 3, l’ente capofila rappresenta gli enti aderenti in tutti i procedimenti e le circostanze rientranti nella materia della presente convenzione. Compatibilmente con la disciplina regionale</w:t>
      </w:r>
      <w:r w:rsidR="00063A2D" w:rsidRPr="00063A2D">
        <w:rPr>
          <w:rFonts w:asciiTheme="minorHAnsi" w:hAnsiTheme="minorHAnsi" w:cstheme="minorHAnsi"/>
        </w:rPr>
        <w:t>.</w:t>
      </w:r>
    </w:p>
    <w:p w:rsidR="00063A2D" w:rsidRDefault="00063A2D" w:rsidP="004B5388">
      <w:pPr>
        <w:pStyle w:val="Corpotesto"/>
        <w:tabs>
          <w:tab w:val="left" w:pos="540"/>
        </w:tabs>
        <w:spacing w:after="0" w:line="360" w:lineRule="exact"/>
        <w:ind w:firstLine="180"/>
        <w:jc w:val="both"/>
        <w:rPr>
          <w:rFonts w:asciiTheme="minorHAnsi" w:hAnsiTheme="minorHAnsi" w:cstheme="minorHAnsi"/>
          <w:b/>
        </w:rPr>
      </w:pPr>
    </w:p>
    <w:p w:rsidR="0087532C" w:rsidRPr="00602BEA" w:rsidRDefault="0087532C" w:rsidP="004B5388">
      <w:pPr>
        <w:pStyle w:val="Corpotesto"/>
        <w:tabs>
          <w:tab w:val="left" w:pos="540"/>
        </w:tabs>
        <w:spacing w:after="0" w:line="360" w:lineRule="exact"/>
        <w:ind w:firstLine="180"/>
        <w:jc w:val="both"/>
        <w:rPr>
          <w:rFonts w:asciiTheme="minorHAnsi" w:hAnsiTheme="minorHAnsi" w:cstheme="minorHAnsi"/>
          <w:b/>
        </w:rPr>
      </w:pPr>
      <w:r w:rsidRPr="00602BEA">
        <w:rPr>
          <w:rFonts w:asciiTheme="minorHAnsi" w:hAnsiTheme="minorHAnsi" w:cstheme="minorHAnsi"/>
          <w:b/>
        </w:rPr>
        <w:t xml:space="preserve">Art. 8. Comitato di </w:t>
      </w:r>
      <w:r w:rsidR="002530BB" w:rsidRPr="00602BEA">
        <w:rPr>
          <w:rFonts w:asciiTheme="minorHAnsi" w:hAnsiTheme="minorHAnsi" w:cstheme="minorHAnsi"/>
          <w:b/>
        </w:rPr>
        <w:t>indirizzo</w:t>
      </w:r>
      <w:r w:rsidRPr="00602BEA">
        <w:rPr>
          <w:rFonts w:asciiTheme="minorHAnsi" w:hAnsiTheme="minorHAnsi" w:cstheme="minorHAnsi"/>
          <w:b/>
        </w:rPr>
        <w:t>.</w:t>
      </w:r>
    </w:p>
    <w:p w:rsidR="0087532C" w:rsidRPr="00602BEA" w:rsidRDefault="0087532C" w:rsidP="00F670F8">
      <w:pPr>
        <w:pStyle w:val="Corpotesto"/>
        <w:tabs>
          <w:tab w:val="left" w:pos="540"/>
        </w:tabs>
        <w:spacing w:after="0" w:line="360" w:lineRule="exact"/>
        <w:jc w:val="both"/>
        <w:rPr>
          <w:rFonts w:asciiTheme="minorHAnsi" w:hAnsiTheme="minorHAnsi" w:cstheme="minorHAnsi"/>
          <w:color w:val="000000"/>
        </w:rPr>
      </w:pPr>
      <w:r w:rsidRPr="00602BEA">
        <w:rPr>
          <w:rFonts w:asciiTheme="minorHAnsi" w:hAnsiTheme="minorHAnsi" w:cstheme="minorHAnsi"/>
          <w:color w:val="000000"/>
        </w:rPr>
        <w:t xml:space="preserve">Il Comitato è l’organo di rappresentanza degli Enti comuni aderenti ed è composto dal Presidente della Provincia, che lo presiede, e dai Presidenti delle Unioni e dai Sindaci </w:t>
      </w:r>
      <w:r w:rsidR="002530BB" w:rsidRPr="00602BEA">
        <w:rPr>
          <w:rFonts w:asciiTheme="minorHAnsi" w:hAnsiTheme="minorHAnsi" w:cstheme="minorHAnsi"/>
          <w:color w:val="000000"/>
        </w:rPr>
        <w:t>dei Comuni o loro delegati. Al C</w:t>
      </w:r>
      <w:r w:rsidRPr="00602BEA">
        <w:rPr>
          <w:rFonts w:asciiTheme="minorHAnsi" w:hAnsiTheme="minorHAnsi" w:cstheme="minorHAnsi"/>
          <w:color w:val="000000"/>
        </w:rPr>
        <w:t>omitato di indi</w:t>
      </w:r>
      <w:r w:rsidR="002530BB" w:rsidRPr="00602BEA">
        <w:rPr>
          <w:rFonts w:asciiTheme="minorHAnsi" w:hAnsiTheme="minorHAnsi" w:cstheme="minorHAnsi"/>
          <w:color w:val="000000"/>
        </w:rPr>
        <w:t xml:space="preserve">rizzo partecipano, </w:t>
      </w:r>
      <w:r w:rsidRPr="00602BEA">
        <w:rPr>
          <w:rFonts w:asciiTheme="minorHAnsi" w:hAnsiTheme="minorHAnsi" w:cstheme="minorHAnsi"/>
          <w:color w:val="000000"/>
        </w:rPr>
        <w:t>il dirigente preposto al SAS e il segretario generale della Provincia</w:t>
      </w:r>
    </w:p>
    <w:p w:rsidR="0087532C" w:rsidRPr="00602BEA" w:rsidRDefault="0087532C" w:rsidP="00F670F8">
      <w:pPr>
        <w:pStyle w:val="Corpotesto"/>
        <w:tabs>
          <w:tab w:val="left" w:pos="540"/>
        </w:tabs>
        <w:spacing w:after="0" w:line="360" w:lineRule="exact"/>
        <w:jc w:val="both"/>
        <w:rPr>
          <w:rFonts w:asciiTheme="minorHAnsi" w:hAnsiTheme="minorHAnsi" w:cstheme="minorHAnsi"/>
          <w:color w:val="000000"/>
        </w:rPr>
      </w:pPr>
      <w:r w:rsidRPr="00602BEA">
        <w:rPr>
          <w:rFonts w:asciiTheme="minorHAnsi" w:hAnsiTheme="minorHAnsi" w:cstheme="minorHAnsi"/>
          <w:color w:val="000000"/>
        </w:rPr>
        <w:t>Al Comitato di indirizzo compete la definizione degli orientamenti generali dell’attività e dell’organizzazione del SAS, la determinazione dei criteri per il riparto dei costi di gestione, il complessivo monitoraggio dell’attività dell’ufficio associato, l’individuazione di eventuali criticità e delle ipotesi di soluzione, oltre che l’integrazione delle funzioni ad assegnate al SAS, purché inerenti le attribuzioni comunali in materia sismica e di sicurezza territoriale.</w:t>
      </w:r>
    </w:p>
    <w:p w:rsidR="002530BB" w:rsidRPr="00063A2D" w:rsidRDefault="00F670F8" w:rsidP="00F670F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I</w:t>
      </w:r>
      <w:r w:rsidR="002530BB" w:rsidRPr="00602BEA">
        <w:rPr>
          <w:rFonts w:asciiTheme="minorHAnsi" w:hAnsiTheme="minorHAnsi" w:cstheme="minorHAnsi"/>
        </w:rPr>
        <w:t>l Comitato di indirizzo e favorisce le relazioni e gli scambi informativi tra i Comuni aderenti e l’ufficio associato</w:t>
      </w:r>
      <w:r w:rsidR="002530BB" w:rsidRPr="00063A2D">
        <w:rPr>
          <w:rFonts w:asciiTheme="minorHAnsi" w:hAnsiTheme="minorHAnsi" w:cstheme="minorHAnsi"/>
        </w:rPr>
        <w:t xml:space="preserve">. </w:t>
      </w:r>
    </w:p>
    <w:p w:rsidR="004B5388" w:rsidRPr="00602BEA" w:rsidRDefault="004B5388" w:rsidP="004B5388">
      <w:pPr>
        <w:pStyle w:val="Corpotesto"/>
        <w:tabs>
          <w:tab w:val="left" w:pos="540"/>
        </w:tabs>
        <w:spacing w:after="0" w:line="360" w:lineRule="exact"/>
        <w:ind w:firstLine="180"/>
        <w:jc w:val="both"/>
        <w:rPr>
          <w:rFonts w:asciiTheme="minorHAnsi" w:hAnsiTheme="minorHAnsi" w:cstheme="minorHAnsi"/>
          <w:b/>
          <w:color w:val="000000"/>
        </w:rPr>
      </w:pPr>
    </w:p>
    <w:p w:rsidR="0087532C" w:rsidRPr="00602BEA" w:rsidRDefault="006F0CD6" w:rsidP="004B5388">
      <w:pPr>
        <w:pStyle w:val="Corpotesto"/>
        <w:tabs>
          <w:tab w:val="left" w:pos="540"/>
        </w:tabs>
        <w:spacing w:after="0" w:line="360" w:lineRule="exact"/>
        <w:ind w:firstLine="180"/>
        <w:jc w:val="both"/>
        <w:rPr>
          <w:rFonts w:asciiTheme="minorHAnsi" w:hAnsiTheme="minorHAnsi" w:cstheme="minorHAnsi"/>
          <w:color w:val="000000"/>
        </w:rPr>
      </w:pPr>
      <w:r w:rsidRPr="00602BEA">
        <w:rPr>
          <w:rFonts w:asciiTheme="minorHAnsi" w:hAnsiTheme="minorHAnsi" w:cstheme="minorHAnsi"/>
          <w:b/>
          <w:color w:val="000000"/>
        </w:rPr>
        <w:t>Art. 9. S</w:t>
      </w:r>
      <w:r w:rsidR="0087532C" w:rsidRPr="00602BEA">
        <w:rPr>
          <w:rFonts w:asciiTheme="minorHAnsi" w:hAnsiTheme="minorHAnsi" w:cstheme="minorHAnsi"/>
          <w:b/>
          <w:color w:val="000000"/>
        </w:rPr>
        <w:t>pazi finanziari.</w:t>
      </w:r>
    </w:p>
    <w:p w:rsidR="004B5388" w:rsidRPr="00063A2D" w:rsidRDefault="0087532C" w:rsidP="00F670F8">
      <w:pPr>
        <w:pStyle w:val="Corpotesto"/>
        <w:tabs>
          <w:tab w:val="left" w:pos="540"/>
        </w:tabs>
        <w:spacing w:after="0" w:line="360" w:lineRule="exact"/>
        <w:jc w:val="both"/>
        <w:rPr>
          <w:rFonts w:asciiTheme="minorHAnsi" w:hAnsiTheme="minorHAnsi" w:cstheme="minorHAnsi"/>
          <w:b/>
        </w:rPr>
      </w:pPr>
      <w:r w:rsidRPr="00602BEA">
        <w:rPr>
          <w:rFonts w:asciiTheme="minorHAnsi" w:hAnsiTheme="minorHAnsi" w:cstheme="minorHAnsi"/>
          <w:color w:val="000000"/>
        </w:rPr>
        <w:t>Gli Enti si impegnano a met</w:t>
      </w:r>
      <w:r w:rsidR="00446A7A">
        <w:rPr>
          <w:rFonts w:asciiTheme="minorHAnsi" w:hAnsiTheme="minorHAnsi" w:cstheme="minorHAnsi"/>
          <w:color w:val="000000"/>
        </w:rPr>
        <w:t>tere a disposizione della P</w:t>
      </w:r>
      <w:r w:rsidRPr="00602BEA">
        <w:rPr>
          <w:rFonts w:asciiTheme="minorHAnsi" w:hAnsiTheme="minorHAnsi" w:cstheme="minorHAnsi"/>
          <w:color w:val="000000"/>
        </w:rPr>
        <w:t xml:space="preserve">rovincia gli spazi finanziari </w:t>
      </w:r>
      <w:r w:rsidRPr="00602BEA">
        <w:rPr>
          <w:rFonts w:asciiTheme="minorHAnsi" w:hAnsiTheme="minorHAnsi" w:cstheme="minorHAnsi"/>
        </w:rPr>
        <w:t xml:space="preserve">per </w:t>
      </w:r>
      <w:r w:rsidR="009440CD">
        <w:rPr>
          <w:rFonts w:asciiTheme="minorHAnsi" w:hAnsiTheme="minorHAnsi" w:cstheme="minorHAnsi"/>
        </w:rPr>
        <w:t>“</w:t>
      </w:r>
      <w:r w:rsidRPr="00602BEA">
        <w:rPr>
          <w:rFonts w:asciiTheme="minorHAnsi" w:hAnsiTheme="minorHAnsi" w:cstheme="minorHAnsi"/>
        </w:rPr>
        <w:t>lavoro flessibile</w:t>
      </w:r>
      <w:r w:rsidR="009440CD">
        <w:rPr>
          <w:rFonts w:asciiTheme="minorHAnsi" w:hAnsiTheme="minorHAnsi" w:cstheme="minorHAnsi"/>
        </w:rPr>
        <w:t>”</w:t>
      </w:r>
      <w:r w:rsidR="00446A7A">
        <w:rPr>
          <w:rFonts w:asciiTheme="minorHAnsi" w:hAnsiTheme="minorHAnsi" w:cstheme="minorHAnsi"/>
        </w:rPr>
        <w:t>,</w:t>
      </w:r>
      <w:r w:rsidR="00446A7A" w:rsidRPr="00446A7A">
        <w:rPr>
          <w:rFonts w:asciiTheme="minorHAnsi" w:hAnsiTheme="minorHAnsi" w:cstheme="minorHAnsi"/>
        </w:rPr>
        <w:t xml:space="preserve"> </w:t>
      </w:r>
      <w:r w:rsidR="00446A7A">
        <w:rPr>
          <w:rFonts w:asciiTheme="minorHAnsi" w:hAnsiTheme="minorHAnsi" w:cstheme="minorHAnsi"/>
        </w:rPr>
        <w:t xml:space="preserve">di cui alla </w:t>
      </w:r>
      <w:r w:rsidR="00446A7A" w:rsidRPr="00446A7A">
        <w:rPr>
          <w:rFonts w:asciiTheme="minorHAnsi" w:hAnsiTheme="minorHAnsi" w:cstheme="minorHAnsi"/>
          <w:b/>
          <w:u w:val="single"/>
        </w:rPr>
        <w:t>Tabella allegato</w:t>
      </w:r>
      <w:r w:rsidR="00446A7A">
        <w:rPr>
          <w:rFonts w:asciiTheme="minorHAnsi" w:hAnsiTheme="minorHAnsi" w:cstheme="minorHAnsi"/>
          <w:b/>
          <w:u w:val="single"/>
        </w:rPr>
        <w:t xml:space="preserve"> 2</w:t>
      </w:r>
      <w:r w:rsidR="00F670F8">
        <w:rPr>
          <w:rFonts w:asciiTheme="minorHAnsi" w:hAnsiTheme="minorHAnsi" w:cstheme="minorHAnsi"/>
          <w:b/>
          <w:u w:val="single"/>
        </w:rPr>
        <w:t xml:space="preserve">), </w:t>
      </w:r>
      <w:r w:rsidRPr="00602BEA">
        <w:rPr>
          <w:rFonts w:asciiTheme="minorHAnsi" w:hAnsiTheme="minorHAnsi" w:cstheme="minorHAnsi"/>
        </w:rPr>
        <w:t xml:space="preserve">necessari al funzionamento del SAS nella misura annualmente definita dal Comitato di </w:t>
      </w:r>
      <w:r w:rsidR="002530BB" w:rsidRPr="00602BEA">
        <w:rPr>
          <w:rFonts w:asciiTheme="minorHAnsi" w:hAnsiTheme="minorHAnsi" w:cstheme="minorHAnsi"/>
        </w:rPr>
        <w:t>indirizzo</w:t>
      </w:r>
      <w:r w:rsidRPr="00602BEA">
        <w:rPr>
          <w:rFonts w:asciiTheme="minorHAnsi" w:hAnsiTheme="minorHAnsi" w:cstheme="minorHAnsi"/>
        </w:rPr>
        <w:t xml:space="preserve"> di cui all’art. 8. </w:t>
      </w:r>
    </w:p>
    <w:p w:rsidR="004B5388" w:rsidRPr="00063A2D" w:rsidRDefault="004B5388" w:rsidP="004B5388">
      <w:pPr>
        <w:pStyle w:val="Corpotesto"/>
        <w:tabs>
          <w:tab w:val="left" w:pos="540"/>
        </w:tabs>
        <w:spacing w:after="0" w:line="360" w:lineRule="exact"/>
        <w:ind w:firstLine="180"/>
        <w:jc w:val="both"/>
        <w:rPr>
          <w:rFonts w:asciiTheme="minorHAnsi" w:hAnsiTheme="minorHAnsi" w:cstheme="minorHAnsi"/>
          <w:b/>
        </w:rPr>
      </w:pPr>
    </w:p>
    <w:p w:rsidR="00DF36F5" w:rsidRPr="00602BEA" w:rsidRDefault="006F0CD6" w:rsidP="004B5388">
      <w:pPr>
        <w:pStyle w:val="Corpotesto"/>
        <w:tabs>
          <w:tab w:val="left" w:pos="540"/>
        </w:tabs>
        <w:spacing w:after="0" w:line="360" w:lineRule="exact"/>
        <w:ind w:firstLine="180"/>
        <w:jc w:val="both"/>
        <w:rPr>
          <w:rFonts w:asciiTheme="minorHAnsi" w:hAnsiTheme="minorHAnsi" w:cstheme="minorHAnsi"/>
          <w:b/>
        </w:rPr>
      </w:pPr>
      <w:r w:rsidRPr="00602BEA">
        <w:rPr>
          <w:rFonts w:asciiTheme="minorHAnsi" w:hAnsiTheme="minorHAnsi" w:cstheme="minorHAnsi"/>
          <w:b/>
        </w:rPr>
        <w:t>Art.10</w:t>
      </w:r>
      <w:r w:rsidR="00DF36F5" w:rsidRPr="00602BEA">
        <w:rPr>
          <w:rFonts w:asciiTheme="minorHAnsi" w:hAnsiTheme="minorHAnsi" w:cstheme="minorHAnsi"/>
          <w:b/>
        </w:rPr>
        <w:t xml:space="preserve"> Risorse</w:t>
      </w:r>
    </w:p>
    <w:p w:rsidR="00DF36F5" w:rsidRPr="00602BEA" w:rsidRDefault="00DF36F5" w:rsidP="0096751C">
      <w:pPr>
        <w:pStyle w:val="Corpotesto"/>
        <w:tabs>
          <w:tab w:val="left" w:pos="540"/>
        </w:tabs>
        <w:spacing w:after="0" w:line="360" w:lineRule="exact"/>
        <w:jc w:val="both"/>
        <w:rPr>
          <w:rFonts w:asciiTheme="minorHAnsi" w:hAnsiTheme="minorHAnsi" w:cstheme="minorHAnsi"/>
        </w:rPr>
      </w:pPr>
      <w:r w:rsidRPr="00602BEA">
        <w:rPr>
          <w:rFonts w:asciiTheme="minorHAnsi" w:hAnsiTheme="minorHAnsi" w:cstheme="minorHAnsi"/>
        </w:rPr>
        <w:t xml:space="preserve">Secondo le modalità indicate al precedente art. 6, i rimborsi forfettari incamerati dalla Provincia sono esclusivamente destinati alla copertura delle spese per il personale, per la sua formazione e per </w:t>
      </w:r>
      <w:r w:rsidRPr="00602BEA">
        <w:rPr>
          <w:rFonts w:asciiTheme="minorHAnsi" w:hAnsiTheme="minorHAnsi" w:cstheme="minorHAnsi"/>
        </w:rPr>
        <w:lastRenderedPageBreak/>
        <w:t xml:space="preserve">l’allestimento e l’uso dei locali, la dotazione dei programmi informatici e relativa assistenza tecnica </w:t>
      </w:r>
      <w:proofErr w:type="gramStart"/>
      <w:r w:rsidRPr="00602BEA">
        <w:rPr>
          <w:rFonts w:asciiTheme="minorHAnsi" w:hAnsiTheme="minorHAnsi" w:cstheme="minorHAnsi"/>
        </w:rPr>
        <w:t>e</w:t>
      </w:r>
      <w:proofErr w:type="gramEnd"/>
      <w:r w:rsidRPr="00602BEA">
        <w:rPr>
          <w:rFonts w:asciiTheme="minorHAnsi" w:hAnsiTheme="minorHAnsi" w:cstheme="minorHAnsi"/>
        </w:rPr>
        <w:t xml:space="preserve"> per quanto complessivamente attenga all’adeguamento e il funzionamento della struttura tecnica di cui all’art. 2.</w:t>
      </w:r>
    </w:p>
    <w:p w:rsidR="00DF36F5" w:rsidRPr="00602BEA" w:rsidRDefault="00DF36F5" w:rsidP="0096751C">
      <w:pPr>
        <w:pStyle w:val="Corpotesto"/>
        <w:tabs>
          <w:tab w:val="left" w:pos="540"/>
        </w:tabs>
        <w:spacing w:after="0" w:line="360" w:lineRule="exact"/>
        <w:jc w:val="both"/>
        <w:rPr>
          <w:rFonts w:asciiTheme="minorHAnsi" w:hAnsiTheme="minorHAnsi" w:cstheme="minorHAnsi"/>
        </w:rPr>
      </w:pPr>
      <w:r w:rsidRPr="00602BEA">
        <w:rPr>
          <w:rFonts w:asciiTheme="minorHAnsi" w:hAnsiTheme="minorHAnsi" w:cstheme="minorHAnsi"/>
        </w:rPr>
        <w:t>Eventuali contributi regionali o di altri enti pubblici o privati inerenti lo svolgimento de</w:t>
      </w:r>
      <w:r w:rsidR="00EE562B" w:rsidRPr="00602BEA">
        <w:rPr>
          <w:rFonts w:asciiTheme="minorHAnsi" w:hAnsiTheme="minorHAnsi" w:cstheme="minorHAnsi"/>
        </w:rPr>
        <w:t>i compiti di cui alla presente c</w:t>
      </w:r>
      <w:r w:rsidRPr="00602BEA">
        <w:rPr>
          <w:rFonts w:asciiTheme="minorHAnsi" w:hAnsiTheme="minorHAnsi" w:cstheme="minorHAnsi"/>
        </w:rPr>
        <w:t>onvenzione sono ugualmente incamerati dalla Provincia</w:t>
      </w:r>
      <w:r w:rsidR="006F0CD6" w:rsidRPr="00602BEA">
        <w:rPr>
          <w:rFonts w:asciiTheme="minorHAnsi" w:hAnsiTheme="minorHAnsi" w:cstheme="minorHAnsi"/>
        </w:rPr>
        <w:t xml:space="preserve"> </w:t>
      </w:r>
      <w:r w:rsidRPr="00602BEA">
        <w:rPr>
          <w:rFonts w:asciiTheme="minorHAnsi" w:hAnsiTheme="minorHAnsi" w:cstheme="minorHAnsi"/>
        </w:rPr>
        <w:t xml:space="preserve">e come sopra parimenti destinati. </w:t>
      </w:r>
    </w:p>
    <w:p w:rsidR="004B5388" w:rsidRPr="00602BEA" w:rsidRDefault="004B5388" w:rsidP="004B5388">
      <w:pPr>
        <w:pStyle w:val="Corpotesto"/>
        <w:tabs>
          <w:tab w:val="left" w:pos="540"/>
        </w:tabs>
        <w:spacing w:after="0" w:line="360" w:lineRule="exact"/>
        <w:ind w:firstLine="180"/>
        <w:jc w:val="both"/>
        <w:rPr>
          <w:rFonts w:asciiTheme="minorHAnsi" w:hAnsiTheme="minorHAnsi" w:cstheme="minorHAnsi"/>
          <w:b/>
          <w:color w:val="000000"/>
        </w:rPr>
      </w:pPr>
    </w:p>
    <w:p w:rsidR="0087532C" w:rsidRPr="00602BEA" w:rsidRDefault="001036AB" w:rsidP="004B5388">
      <w:pPr>
        <w:pStyle w:val="Corpotesto"/>
        <w:tabs>
          <w:tab w:val="left" w:pos="540"/>
        </w:tabs>
        <w:spacing w:after="0" w:line="360" w:lineRule="exact"/>
        <w:ind w:firstLine="180"/>
        <w:jc w:val="both"/>
        <w:rPr>
          <w:rFonts w:asciiTheme="minorHAnsi" w:hAnsiTheme="minorHAnsi" w:cstheme="minorHAnsi"/>
          <w:color w:val="000000"/>
        </w:rPr>
      </w:pPr>
      <w:r w:rsidRPr="00602BEA">
        <w:rPr>
          <w:rFonts w:asciiTheme="minorHAnsi" w:hAnsiTheme="minorHAnsi" w:cstheme="minorHAnsi"/>
          <w:b/>
          <w:color w:val="000000"/>
        </w:rPr>
        <w:t>Art. 11</w:t>
      </w:r>
      <w:r w:rsidR="0087532C" w:rsidRPr="00602BEA">
        <w:rPr>
          <w:rFonts w:asciiTheme="minorHAnsi" w:hAnsiTheme="minorHAnsi" w:cstheme="minorHAnsi"/>
          <w:b/>
          <w:color w:val="000000"/>
        </w:rPr>
        <w:t>. Trattamento dati.</w:t>
      </w:r>
    </w:p>
    <w:p w:rsidR="00FD2E00" w:rsidRDefault="0087532C" w:rsidP="0096751C">
      <w:pPr>
        <w:pStyle w:val="Corpotesto"/>
        <w:tabs>
          <w:tab w:val="left" w:pos="540"/>
        </w:tabs>
        <w:spacing w:after="0" w:line="360" w:lineRule="exact"/>
        <w:jc w:val="both"/>
        <w:rPr>
          <w:rFonts w:asciiTheme="minorHAnsi" w:hAnsiTheme="minorHAnsi" w:cstheme="minorHAnsi"/>
          <w:color w:val="000000"/>
        </w:rPr>
      </w:pPr>
      <w:r w:rsidRPr="00602BEA">
        <w:rPr>
          <w:rFonts w:asciiTheme="minorHAnsi" w:hAnsiTheme="minorHAnsi" w:cstheme="minorHAnsi"/>
          <w:color w:val="000000"/>
        </w:rPr>
        <w:t xml:space="preserve">I Comuni aderenti individuano fin d’ora la Provincia di Ferrara come </w:t>
      </w:r>
      <w:r w:rsidR="00FD2E00">
        <w:rPr>
          <w:rFonts w:asciiTheme="minorHAnsi" w:hAnsiTheme="minorHAnsi" w:cstheme="minorHAnsi"/>
          <w:color w:val="000000"/>
        </w:rPr>
        <w:t>“R</w:t>
      </w:r>
      <w:r w:rsidRPr="00602BEA">
        <w:rPr>
          <w:rFonts w:asciiTheme="minorHAnsi" w:hAnsiTheme="minorHAnsi" w:cstheme="minorHAnsi"/>
          <w:color w:val="000000"/>
        </w:rPr>
        <w:t>esponsabile del trattamento</w:t>
      </w:r>
      <w:r w:rsidR="00FD2E00">
        <w:rPr>
          <w:rFonts w:asciiTheme="minorHAnsi" w:hAnsiTheme="minorHAnsi" w:cstheme="minorHAnsi"/>
          <w:color w:val="000000"/>
        </w:rPr>
        <w:t>”</w:t>
      </w:r>
      <w:r w:rsidRPr="00602BEA">
        <w:rPr>
          <w:rFonts w:asciiTheme="minorHAnsi" w:hAnsiTheme="minorHAnsi" w:cstheme="minorHAnsi"/>
          <w:color w:val="000000"/>
        </w:rPr>
        <w:t xml:space="preserve"> dei dati </w:t>
      </w:r>
      <w:r w:rsidR="00FD2E00">
        <w:rPr>
          <w:rFonts w:asciiTheme="minorHAnsi" w:hAnsiTheme="minorHAnsi" w:cstheme="minorHAnsi"/>
          <w:color w:val="000000"/>
        </w:rPr>
        <w:t xml:space="preserve">personali </w:t>
      </w:r>
      <w:r w:rsidRPr="00602BEA">
        <w:rPr>
          <w:rFonts w:asciiTheme="minorHAnsi" w:hAnsiTheme="minorHAnsi" w:cstheme="minorHAnsi"/>
          <w:color w:val="000000"/>
        </w:rPr>
        <w:t>necessari alla gestione dei procedimenti di competenza del SAS</w:t>
      </w:r>
      <w:r w:rsidR="00FD2E00">
        <w:rPr>
          <w:rFonts w:asciiTheme="minorHAnsi" w:hAnsiTheme="minorHAnsi" w:cstheme="minorHAnsi"/>
          <w:color w:val="000000"/>
        </w:rPr>
        <w:t>,</w:t>
      </w:r>
      <w:r w:rsidRPr="00602BEA">
        <w:rPr>
          <w:rFonts w:asciiTheme="minorHAnsi" w:hAnsiTheme="minorHAnsi" w:cstheme="minorHAnsi"/>
          <w:color w:val="000000"/>
        </w:rPr>
        <w:t xml:space="preserve"> come</w:t>
      </w:r>
      <w:r w:rsidR="00FD2E00">
        <w:rPr>
          <w:rFonts w:asciiTheme="minorHAnsi" w:hAnsiTheme="minorHAnsi" w:cstheme="minorHAnsi"/>
          <w:color w:val="000000"/>
        </w:rPr>
        <w:t xml:space="preserve"> definiti al precedente art. 3, ai sensi e per gli effetti dell’art. 28 del Regolamento UE 2016/679.</w:t>
      </w:r>
    </w:p>
    <w:p w:rsidR="003E7C1D" w:rsidRDefault="003E7C1D" w:rsidP="00FD2E00">
      <w:pPr>
        <w:pStyle w:val="Corpotesto"/>
        <w:tabs>
          <w:tab w:val="left" w:pos="540"/>
        </w:tabs>
        <w:spacing w:after="0" w:line="360" w:lineRule="exact"/>
        <w:jc w:val="both"/>
        <w:rPr>
          <w:rFonts w:asciiTheme="minorHAnsi" w:hAnsiTheme="minorHAnsi" w:cstheme="minorHAnsi"/>
          <w:color w:val="000000"/>
        </w:rPr>
      </w:pPr>
      <w:r>
        <w:rPr>
          <w:rFonts w:asciiTheme="minorHAnsi" w:hAnsiTheme="minorHAnsi" w:cstheme="minorHAnsi"/>
          <w:color w:val="000000"/>
        </w:rPr>
        <w:t>Indicativamente verranno trattati i dati personali comuni, contenuti nelle istanze di autorizzazione e in tutti gli atti trasmessi alla Provincia.</w:t>
      </w:r>
    </w:p>
    <w:p w:rsidR="0087532C" w:rsidRPr="00602BEA" w:rsidRDefault="0087532C" w:rsidP="00FD2E00">
      <w:pPr>
        <w:pStyle w:val="Corpotesto"/>
        <w:tabs>
          <w:tab w:val="left" w:pos="540"/>
        </w:tabs>
        <w:spacing w:after="0" w:line="360" w:lineRule="exact"/>
        <w:jc w:val="both"/>
        <w:rPr>
          <w:rFonts w:asciiTheme="minorHAnsi" w:hAnsiTheme="minorHAnsi" w:cstheme="minorHAnsi"/>
          <w:b/>
          <w:color w:val="000000"/>
        </w:rPr>
      </w:pPr>
      <w:r w:rsidRPr="00602BEA">
        <w:rPr>
          <w:rFonts w:asciiTheme="minorHAnsi" w:hAnsiTheme="minorHAnsi" w:cstheme="minorHAnsi"/>
          <w:color w:val="000000"/>
        </w:rPr>
        <w:t>Con successivi atti verranno definite le modalità e le garanzie del trattamento.</w:t>
      </w:r>
    </w:p>
    <w:p w:rsidR="004B5388" w:rsidRPr="00602BEA" w:rsidRDefault="004B5388" w:rsidP="004B5388">
      <w:pPr>
        <w:pStyle w:val="Corpotesto"/>
        <w:tabs>
          <w:tab w:val="left" w:pos="540"/>
        </w:tabs>
        <w:spacing w:after="0" w:line="360" w:lineRule="exact"/>
        <w:ind w:firstLine="181"/>
        <w:jc w:val="both"/>
        <w:rPr>
          <w:rFonts w:asciiTheme="minorHAnsi" w:hAnsiTheme="minorHAnsi" w:cstheme="minorHAnsi"/>
          <w:b/>
          <w:color w:val="000000"/>
        </w:rPr>
      </w:pPr>
    </w:p>
    <w:p w:rsidR="0087532C" w:rsidRPr="00602BEA" w:rsidRDefault="001036AB" w:rsidP="004B5388">
      <w:pPr>
        <w:pStyle w:val="Corpotesto"/>
        <w:tabs>
          <w:tab w:val="left" w:pos="540"/>
        </w:tabs>
        <w:spacing w:after="0" w:line="360" w:lineRule="exact"/>
        <w:ind w:firstLine="181"/>
        <w:jc w:val="both"/>
        <w:rPr>
          <w:rFonts w:asciiTheme="minorHAnsi" w:hAnsiTheme="minorHAnsi" w:cstheme="minorHAnsi"/>
          <w:color w:val="000000"/>
        </w:rPr>
      </w:pPr>
      <w:r w:rsidRPr="00602BEA">
        <w:rPr>
          <w:rFonts w:asciiTheme="minorHAnsi" w:hAnsiTheme="minorHAnsi" w:cstheme="minorHAnsi"/>
          <w:b/>
          <w:color w:val="000000"/>
        </w:rPr>
        <w:t>Art. 12</w:t>
      </w:r>
      <w:r w:rsidR="0087532C" w:rsidRPr="00602BEA">
        <w:rPr>
          <w:rFonts w:asciiTheme="minorHAnsi" w:hAnsiTheme="minorHAnsi" w:cstheme="minorHAnsi"/>
          <w:b/>
          <w:color w:val="000000"/>
        </w:rPr>
        <w:t>. Durata della convenzione e recesso.</w:t>
      </w:r>
    </w:p>
    <w:p w:rsidR="0087532C" w:rsidRPr="00602BEA" w:rsidRDefault="0087532C" w:rsidP="0096751C">
      <w:pPr>
        <w:pStyle w:val="Corpotesto"/>
        <w:tabs>
          <w:tab w:val="left" w:pos="540"/>
        </w:tabs>
        <w:spacing w:after="0" w:line="360" w:lineRule="exact"/>
        <w:jc w:val="both"/>
        <w:rPr>
          <w:rFonts w:asciiTheme="minorHAnsi" w:hAnsiTheme="minorHAnsi" w:cstheme="minorHAnsi"/>
          <w:color w:val="000000"/>
        </w:rPr>
      </w:pPr>
      <w:r w:rsidRPr="00602BEA">
        <w:rPr>
          <w:rFonts w:asciiTheme="minorHAnsi" w:hAnsiTheme="minorHAnsi" w:cstheme="minorHAnsi"/>
          <w:color w:val="000000"/>
        </w:rPr>
        <w:t>A seguito del perfezionamento della sua efficacia con le modalità</w:t>
      </w:r>
      <w:r w:rsidR="00EE562B" w:rsidRPr="00602BEA">
        <w:rPr>
          <w:rFonts w:asciiTheme="minorHAnsi" w:hAnsiTheme="minorHAnsi" w:cstheme="minorHAnsi"/>
          <w:color w:val="000000"/>
        </w:rPr>
        <w:t xml:space="preserve"> previste dal successivo art. 14</w:t>
      </w:r>
      <w:r w:rsidRPr="00602BEA">
        <w:rPr>
          <w:rFonts w:asciiTheme="minorHAnsi" w:hAnsiTheme="minorHAnsi" w:cstheme="minorHAnsi"/>
          <w:color w:val="000000"/>
        </w:rPr>
        <w:t xml:space="preserve">, la presente convenzione resta in vigore </w:t>
      </w:r>
      <w:r w:rsidRPr="009440CD">
        <w:rPr>
          <w:rFonts w:asciiTheme="minorHAnsi" w:hAnsiTheme="minorHAnsi" w:cstheme="minorHAnsi"/>
          <w:color w:val="000000"/>
          <w:u w:val="single"/>
        </w:rPr>
        <w:t xml:space="preserve">per </w:t>
      </w:r>
      <w:r w:rsidR="009440CD" w:rsidRPr="009440CD">
        <w:rPr>
          <w:rFonts w:asciiTheme="minorHAnsi" w:hAnsiTheme="minorHAnsi" w:cstheme="minorHAnsi"/>
          <w:color w:val="000000"/>
          <w:u w:val="single"/>
        </w:rPr>
        <w:t>3</w:t>
      </w:r>
      <w:r w:rsidRPr="009440CD">
        <w:rPr>
          <w:rFonts w:asciiTheme="minorHAnsi" w:hAnsiTheme="minorHAnsi" w:cstheme="minorHAnsi"/>
          <w:color w:val="FF0000"/>
          <w:u w:val="single"/>
        </w:rPr>
        <w:t xml:space="preserve"> </w:t>
      </w:r>
      <w:r w:rsidRPr="009440CD">
        <w:rPr>
          <w:rFonts w:asciiTheme="minorHAnsi" w:hAnsiTheme="minorHAnsi" w:cstheme="minorHAnsi"/>
          <w:color w:val="000000"/>
          <w:u w:val="single"/>
        </w:rPr>
        <w:t>anni</w:t>
      </w:r>
      <w:r w:rsidRPr="00602BEA">
        <w:rPr>
          <w:rFonts w:asciiTheme="minorHAnsi" w:hAnsiTheme="minorHAnsi" w:cstheme="minorHAnsi"/>
          <w:color w:val="000000"/>
        </w:rPr>
        <w:t xml:space="preserve"> decorrenti dalla data di effettivo avvio delle at</w:t>
      </w:r>
      <w:r w:rsidR="00EE562B" w:rsidRPr="00602BEA">
        <w:rPr>
          <w:rFonts w:asciiTheme="minorHAnsi" w:hAnsiTheme="minorHAnsi" w:cstheme="minorHAnsi"/>
          <w:color w:val="000000"/>
        </w:rPr>
        <w:t>tività del SAS, comunicata dal P</w:t>
      </w:r>
      <w:r w:rsidRPr="00602BEA">
        <w:rPr>
          <w:rFonts w:asciiTheme="minorHAnsi" w:hAnsiTheme="minorHAnsi" w:cstheme="minorHAnsi"/>
          <w:color w:val="000000"/>
        </w:rPr>
        <w:t xml:space="preserve">residente della Provincia. Fatto salvo lo scioglimento del SAS, per garantire la stabilità all'organizzazione e dare certezza alle risorse del servizio, la possibilità per i singoli enti di recedere dalla convenzione e dal SAS è subordinata alla verifica, ad opera del Comitato di indirizzo, del mantenimento dell’equilibrio economico-finanziario di cui al precedente art. </w:t>
      </w:r>
      <w:smartTag w:uri="urn:schemas-microsoft-com:office:smarttags" w:element="metricconverter">
        <w:smartTagPr>
          <w:attr w:name="ProductID" w:val="6. In"/>
        </w:smartTagPr>
        <w:r w:rsidRPr="00602BEA">
          <w:rPr>
            <w:rFonts w:asciiTheme="minorHAnsi" w:hAnsiTheme="minorHAnsi" w:cstheme="minorHAnsi"/>
            <w:color w:val="000000"/>
          </w:rPr>
          <w:t>6. In</w:t>
        </w:r>
      </w:smartTag>
      <w:r w:rsidRPr="00602BEA">
        <w:rPr>
          <w:rFonts w:asciiTheme="minorHAnsi" w:hAnsiTheme="minorHAnsi" w:cstheme="minorHAnsi"/>
          <w:color w:val="000000"/>
        </w:rPr>
        <w:t xml:space="preserve"> ogni caso, l’eventuale recesso dovrà comunque essere definito entro il 30 giugno di ciascun anno ed avrà effetto dal primo gennaio dell’anno successivo.</w:t>
      </w:r>
    </w:p>
    <w:p w:rsidR="006F0CD6" w:rsidRPr="00602BEA" w:rsidRDefault="006F0CD6" w:rsidP="004B5388">
      <w:pPr>
        <w:pStyle w:val="Corpotesto"/>
        <w:tabs>
          <w:tab w:val="left" w:pos="540"/>
        </w:tabs>
        <w:spacing w:after="0" w:line="360" w:lineRule="exact"/>
        <w:jc w:val="both"/>
        <w:rPr>
          <w:rFonts w:asciiTheme="minorHAnsi" w:hAnsiTheme="minorHAnsi" w:cstheme="minorHAnsi"/>
        </w:rPr>
      </w:pPr>
      <w:r w:rsidRPr="00602BEA">
        <w:rPr>
          <w:rFonts w:asciiTheme="minorHAnsi" w:hAnsiTheme="minorHAnsi" w:cstheme="minorHAnsi"/>
        </w:rPr>
        <w:t>Il recesso di un Ente dal presente accordo non costituisce causa di risoluzione della convenzione che mantiene la sua efficacia relativamente agli altri Comuni associati.</w:t>
      </w:r>
    </w:p>
    <w:p w:rsidR="006F0CD6" w:rsidRPr="00602BEA" w:rsidRDefault="006F0CD6" w:rsidP="004B5388">
      <w:pPr>
        <w:pStyle w:val="Corpotesto"/>
        <w:tabs>
          <w:tab w:val="left" w:pos="540"/>
        </w:tabs>
        <w:spacing w:after="0" w:line="360" w:lineRule="exact"/>
        <w:jc w:val="both"/>
        <w:rPr>
          <w:rFonts w:asciiTheme="minorHAnsi" w:hAnsiTheme="minorHAnsi" w:cstheme="minorHAnsi"/>
        </w:rPr>
      </w:pPr>
      <w:r w:rsidRPr="00602BEA">
        <w:rPr>
          <w:rFonts w:asciiTheme="minorHAnsi" w:hAnsiTheme="minorHAnsi" w:cstheme="minorHAnsi"/>
        </w:rPr>
        <w:t>Il Recesso non dà luogo a rimborsi o a ripartizioni di quote patrimoniali comuni al recedente.</w:t>
      </w:r>
    </w:p>
    <w:p w:rsidR="004B5388" w:rsidRPr="00063A2D" w:rsidRDefault="004B5388" w:rsidP="004B5388">
      <w:pPr>
        <w:pStyle w:val="Corpotesto"/>
        <w:tabs>
          <w:tab w:val="left" w:pos="540"/>
        </w:tabs>
        <w:spacing w:after="0" w:line="360" w:lineRule="exact"/>
        <w:ind w:firstLine="180"/>
        <w:jc w:val="both"/>
        <w:rPr>
          <w:rFonts w:asciiTheme="minorHAnsi" w:hAnsiTheme="minorHAnsi" w:cstheme="minorHAnsi"/>
          <w:b/>
        </w:rPr>
      </w:pPr>
    </w:p>
    <w:p w:rsidR="006F0CD6" w:rsidRPr="00602BEA" w:rsidRDefault="006F0CD6" w:rsidP="004B5388">
      <w:pPr>
        <w:pStyle w:val="Corpotesto"/>
        <w:tabs>
          <w:tab w:val="left" w:pos="540"/>
        </w:tabs>
        <w:spacing w:after="0" w:line="360" w:lineRule="exact"/>
        <w:ind w:firstLine="180"/>
        <w:jc w:val="both"/>
        <w:rPr>
          <w:rFonts w:asciiTheme="minorHAnsi" w:hAnsiTheme="minorHAnsi" w:cstheme="minorHAnsi"/>
          <w:b/>
        </w:rPr>
      </w:pPr>
      <w:r w:rsidRPr="00602BEA">
        <w:rPr>
          <w:rFonts w:asciiTheme="minorHAnsi" w:hAnsiTheme="minorHAnsi" w:cstheme="minorHAnsi"/>
          <w:b/>
        </w:rPr>
        <w:t>Art</w:t>
      </w:r>
      <w:r w:rsidR="001036AB" w:rsidRPr="00602BEA">
        <w:rPr>
          <w:rFonts w:asciiTheme="minorHAnsi" w:hAnsiTheme="minorHAnsi" w:cstheme="minorHAnsi"/>
          <w:b/>
        </w:rPr>
        <w:t>.13</w:t>
      </w:r>
      <w:r w:rsidRPr="00602BEA">
        <w:rPr>
          <w:rFonts w:asciiTheme="minorHAnsi" w:hAnsiTheme="minorHAnsi" w:cstheme="minorHAnsi"/>
          <w:b/>
        </w:rPr>
        <w:t xml:space="preserve"> Nuovi ingressi</w:t>
      </w:r>
    </w:p>
    <w:p w:rsidR="006F0CD6" w:rsidRPr="00602BEA" w:rsidRDefault="006F0CD6" w:rsidP="0096751C">
      <w:pPr>
        <w:pStyle w:val="Corpotesto"/>
        <w:tabs>
          <w:tab w:val="left" w:pos="540"/>
        </w:tabs>
        <w:spacing w:after="0" w:line="360" w:lineRule="exact"/>
        <w:jc w:val="both"/>
        <w:rPr>
          <w:rFonts w:asciiTheme="minorHAnsi" w:hAnsiTheme="minorHAnsi" w:cstheme="minorHAnsi"/>
          <w:bCs/>
          <w:lang w:eastAsia="it-IT"/>
        </w:rPr>
      </w:pPr>
      <w:r w:rsidRPr="00602BEA">
        <w:rPr>
          <w:rFonts w:asciiTheme="minorHAnsi" w:hAnsiTheme="minorHAnsi" w:cstheme="minorHAnsi"/>
        </w:rPr>
        <w:t>L'ingresso</w:t>
      </w:r>
      <w:r w:rsidRPr="00602BEA">
        <w:rPr>
          <w:rFonts w:asciiTheme="minorHAnsi" w:hAnsiTheme="minorHAnsi" w:cstheme="minorHAnsi"/>
          <w:bCs/>
          <w:lang w:eastAsia="it-IT"/>
        </w:rPr>
        <w:t xml:space="preserve"> di un nuovo soggetto deve essere formalizzato con domanda dell’Ente interessato alla Provincia, previa Delibera di Consiglio dell’Ente richiedente, che verrà sottoposta al Comitato di </w:t>
      </w:r>
      <w:r w:rsidR="00EE562B" w:rsidRPr="00602BEA">
        <w:rPr>
          <w:rFonts w:asciiTheme="minorHAnsi" w:hAnsiTheme="minorHAnsi" w:cstheme="minorHAnsi"/>
          <w:bCs/>
          <w:lang w:eastAsia="it-IT"/>
        </w:rPr>
        <w:t>indirizzo</w:t>
      </w:r>
      <w:r w:rsidRPr="00602BEA">
        <w:rPr>
          <w:rFonts w:asciiTheme="minorHAnsi" w:hAnsiTheme="minorHAnsi" w:cstheme="minorHAnsi"/>
          <w:bCs/>
          <w:lang w:eastAsia="it-IT"/>
        </w:rPr>
        <w:t xml:space="preserve"> per la verifica </w:t>
      </w:r>
      <w:r w:rsidR="00EE562B" w:rsidRPr="00602BEA">
        <w:rPr>
          <w:rFonts w:asciiTheme="minorHAnsi" w:hAnsiTheme="minorHAnsi" w:cstheme="minorHAnsi"/>
          <w:bCs/>
          <w:lang w:eastAsia="it-IT"/>
        </w:rPr>
        <w:t xml:space="preserve">e la riparametrazione </w:t>
      </w:r>
      <w:r w:rsidRPr="00602BEA">
        <w:rPr>
          <w:rFonts w:asciiTheme="minorHAnsi" w:hAnsiTheme="minorHAnsi" w:cstheme="minorHAnsi"/>
          <w:bCs/>
          <w:lang w:eastAsia="it-IT"/>
        </w:rPr>
        <w:t>delle condizioni economiche e operative della SAS.</w:t>
      </w:r>
    </w:p>
    <w:p w:rsidR="006F0CD6" w:rsidRPr="00602BEA" w:rsidRDefault="006F0CD6" w:rsidP="004B5388">
      <w:pPr>
        <w:pStyle w:val="NormaleWeb"/>
        <w:spacing w:before="0" w:beforeAutospacing="0" w:after="0" w:line="363" w:lineRule="atLeast"/>
        <w:ind w:firstLine="181"/>
        <w:jc w:val="both"/>
        <w:rPr>
          <w:rFonts w:asciiTheme="minorHAnsi" w:hAnsiTheme="minorHAnsi" w:cstheme="minorHAnsi"/>
        </w:rPr>
      </w:pPr>
      <w:r w:rsidRPr="00602BEA">
        <w:rPr>
          <w:rFonts w:asciiTheme="minorHAnsi" w:hAnsiTheme="minorHAnsi" w:cstheme="minorHAnsi"/>
          <w:lang w:eastAsia="zh-CN"/>
        </w:rPr>
        <w:t>L’ingresso di un nuovo Ente non costituisce causa di risoluzione della Convenzione che mantiene la sua efficacia relativamente agli altri Enti associati</w:t>
      </w:r>
    </w:p>
    <w:p w:rsidR="004B5388" w:rsidRPr="00602BEA" w:rsidRDefault="004B5388" w:rsidP="004B5388">
      <w:pPr>
        <w:pStyle w:val="Corpotesto"/>
        <w:tabs>
          <w:tab w:val="left" w:pos="540"/>
        </w:tabs>
        <w:spacing w:after="0" w:line="360" w:lineRule="exact"/>
        <w:ind w:firstLine="180"/>
        <w:jc w:val="both"/>
        <w:rPr>
          <w:rFonts w:asciiTheme="minorHAnsi" w:hAnsiTheme="minorHAnsi" w:cstheme="minorHAnsi"/>
          <w:b/>
        </w:rPr>
      </w:pPr>
    </w:p>
    <w:p w:rsidR="0087532C" w:rsidRPr="00602BEA" w:rsidRDefault="00DF36F5" w:rsidP="0096751C">
      <w:pPr>
        <w:pStyle w:val="Corpotesto"/>
        <w:tabs>
          <w:tab w:val="left" w:pos="540"/>
        </w:tabs>
        <w:spacing w:after="0" w:line="360" w:lineRule="exact"/>
        <w:jc w:val="both"/>
        <w:rPr>
          <w:rFonts w:asciiTheme="minorHAnsi" w:hAnsiTheme="minorHAnsi" w:cstheme="minorHAnsi"/>
        </w:rPr>
      </w:pPr>
      <w:r w:rsidRPr="00602BEA">
        <w:rPr>
          <w:rFonts w:asciiTheme="minorHAnsi" w:hAnsiTheme="minorHAnsi" w:cstheme="minorHAnsi"/>
          <w:b/>
        </w:rPr>
        <w:t>Art. 14</w:t>
      </w:r>
      <w:r w:rsidR="0087532C" w:rsidRPr="00602BEA">
        <w:rPr>
          <w:rFonts w:asciiTheme="minorHAnsi" w:hAnsiTheme="minorHAnsi" w:cstheme="minorHAnsi"/>
          <w:b/>
        </w:rPr>
        <w:t>. Sottoscrizione per adesione</w:t>
      </w:r>
    </w:p>
    <w:p w:rsidR="0087532C" w:rsidRDefault="0087532C" w:rsidP="0096751C">
      <w:pPr>
        <w:pStyle w:val="Corpotesto"/>
        <w:tabs>
          <w:tab w:val="left" w:pos="540"/>
        </w:tabs>
        <w:spacing w:after="0" w:line="360" w:lineRule="exact"/>
        <w:jc w:val="both"/>
        <w:rPr>
          <w:rFonts w:asciiTheme="minorHAnsi" w:hAnsiTheme="minorHAnsi" w:cstheme="minorHAnsi"/>
        </w:rPr>
      </w:pPr>
      <w:r w:rsidRPr="00602BEA">
        <w:rPr>
          <w:rFonts w:asciiTheme="minorHAnsi" w:hAnsiTheme="minorHAnsi" w:cstheme="minorHAnsi"/>
        </w:rPr>
        <w:t>Il presente atto verrà sottoscritto in modalità digitale da parte di tutti i legali rappresentanti degli Enti o loro delegati.</w:t>
      </w:r>
      <w:r w:rsidR="00EE562B" w:rsidRPr="00602BEA">
        <w:rPr>
          <w:rFonts w:asciiTheme="minorHAnsi" w:hAnsiTheme="minorHAnsi" w:cstheme="minorHAnsi"/>
        </w:rPr>
        <w:t xml:space="preserve"> Il Presidente della Provincia provvederà alla comunicazione dell’avvenuto perfezionamento e dell’entrata in vigore della presente convenzione</w:t>
      </w:r>
      <w:r w:rsidR="000E16C0" w:rsidRPr="00602BEA">
        <w:rPr>
          <w:rFonts w:asciiTheme="minorHAnsi" w:hAnsiTheme="minorHAnsi" w:cstheme="minorHAnsi"/>
        </w:rPr>
        <w:t xml:space="preserve"> ai sottoscrittori</w:t>
      </w:r>
      <w:r w:rsidR="00EE562B" w:rsidRPr="00602BEA">
        <w:rPr>
          <w:rFonts w:asciiTheme="minorHAnsi" w:hAnsiTheme="minorHAnsi" w:cstheme="minorHAnsi"/>
        </w:rPr>
        <w:t>.</w:t>
      </w:r>
    </w:p>
    <w:p w:rsidR="00063A2D" w:rsidRDefault="00063A2D" w:rsidP="004B5388">
      <w:pPr>
        <w:pStyle w:val="Corpotesto"/>
        <w:tabs>
          <w:tab w:val="left" w:pos="540"/>
        </w:tabs>
        <w:spacing w:after="0" w:line="360" w:lineRule="exact"/>
        <w:ind w:firstLine="180"/>
        <w:jc w:val="both"/>
        <w:rPr>
          <w:rFonts w:asciiTheme="minorHAnsi" w:hAnsiTheme="minorHAnsi" w:cstheme="minorHAnsi"/>
        </w:rPr>
      </w:pPr>
    </w:p>
    <w:p w:rsidR="00063A2D" w:rsidRPr="0096751C" w:rsidRDefault="00063A2D" w:rsidP="004B5388">
      <w:pPr>
        <w:pStyle w:val="Corpotesto"/>
        <w:tabs>
          <w:tab w:val="left" w:pos="540"/>
        </w:tabs>
        <w:spacing w:after="0" w:line="360" w:lineRule="exact"/>
        <w:ind w:firstLine="180"/>
        <w:jc w:val="both"/>
        <w:rPr>
          <w:rFonts w:asciiTheme="minorHAnsi" w:hAnsiTheme="minorHAnsi" w:cstheme="minorHAnsi"/>
          <w:b/>
          <w:sz w:val="22"/>
          <w:szCs w:val="22"/>
        </w:rPr>
      </w:pPr>
      <w:r w:rsidRPr="0096751C">
        <w:rPr>
          <w:rFonts w:asciiTheme="minorHAnsi" w:hAnsiTheme="minorHAnsi" w:cstheme="minorHAnsi"/>
          <w:b/>
          <w:sz w:val="22"/>
          <w:szCs w:val="22"/>
        </w:rPr>
        <w:t>Allegati:</w:t>
      </w:r>
      <w:bookmarkStart w:id="0" w:name="_GoBack"/>
      <w:bookmarkEnd w:id="0"/>
    </w:p>
    <w:p w:rsidR="00063A2D" w:rsidRPr="0096751C" w:rsidRDefault="00063A2D" w:rsidP="004B5388">
      <w:pPr>
        <w:pStyle w:val="Corpotesto"/>
        <w:tabs>
          <w:tab w:val="left" w:pos="540"/>
        </w:tabs>
        <w:spacing w:after="0" w:line="360" w:lineRule="exact"/>
        <w:ind w:firstLine="180"/>
        <w:jc w:val="both"/>
        <w:rPr>
          <w:rFonts w:asciiTheme="minorHAnsi" w:hAnsiTheme="minorHAnsi" w:cstheme="minorHAnsi"/>
          <w:sz w:val="22"/>
          <w:szCs w:val="22"/>
        </w:rPr>
      </w:pPr>
      <w:r w:rsidRPr="0096751C">
        <w:rPr>
          <w:rFonts w:asciiTheme="minorHAnsi" w:hAnsiTheme="minorHAnsi" w:cstheme="minorHAnsi"/>
          <w:sz w:val="22"/>
          <w:szCs w:val="22"/>
        </w:rPr>
        <w:t>Tabella Allegato 1);</w:t>
      </w:r>
    </w:p>
    <w:p w:rsidR="00063A2D" w:rsidRPr="0096751C" w:rsidRDefault="00063A2D" w:rsidP="00063A2D">
      <w:pPr>
        <w:pStyle w:val="Corpotesto"/>
        <w:tabs>
          <w:tab w:val="left" w:pos="540"/>
        </w:tabs>
        <w:spacing w:after="0" w:line="360" w:lineRule="exact"/>
        <w:ind w:firstLine="180"/>
        <w:jc w:val="both"/>
        <w:rPr>
          <w:rFonts w:asciiTheme="minorHAnsi" w:hAnsiTheme="minorHAnsi" w:cstheme="minorHAnsi"/>
          <w:sz w:val="22"/>
          <w:szCs w:val="22"/>
        </w:rPr>
      </w:pPr>
      <w:r w:rsidRPr="0096751C">
        <w:rPr>
          <w:rFonts w:asciiTheme="minorHAnsi" w:hAnsiTheme="minorHAnsi" w:cstheme="minorHAnsi"/>
          <w:sz w:val="22"/>
          <w:szCs w:val="22"/>
        </w:rPr>
        <w:t>Tabella Allegato 2);</w:t>
      </w:r>
    </w:p>
    <w:p w:rsidR="00063A2D" w:rsidRDefault="00063A2D" w:rsidP="004B5388">
      <w:pPr>
        <w:pStyle w:val="Corpotesto"/>
        <w:tabs>
          <w:tab w:val="left" w:pos="540"/>
        </w:tabs>
        <w:spacing w:after="0" w:line="360" w:lineRule="exact"/>
        <w:ind w:firstLine="180"/>
        <w:jc w:val="both"/>
        <w:rPr>
          <w:rFonts w:asciiTheme="minorHAnsi" w:hAnsiTheme="minorHAnsi" w:cstheme="minorHAnsi"/>
        </w:rPr>
      </w:pPr>
    </w:p>
    <w:p w:rsidR="00803D4C" w:rsidRDefault="00803D4C" w:rsidP="004B5388">
      <w:pPr>
        <w:pStyle w:val="Corpotesto"/>
        <w:tabs>
          <w:tab w:val="left" w:pos="540"/>
        </w:tabs>
        <w:spacing w:after="0" w:line="360" w:lineRule="exact"/>
        <w:ind w:firstLine="180"/>
        <w:jc w:val="both"/>
        <w:rPr>
          <w:rFonts w:asciiTheme="minorHAnsi" w:hAnsiTheme="minorHAnsi" w:cstheme="minorHAnsi"/>
        </w:rPr>
      </w:pPr>
    </w:p>
    <w:p w:rsidR="00803D4C" w:rsidRDefault="00803D4C"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Provincia di Ferrara</w:t>
      </w:r>
    </w:p>
    <w:p w:rsidR="00803D4C"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________________</w:t>
      </w:r>
    </w:p>
    <w:p w:rsidR="00EF0518" w:rsidRDefault="00EF0518" w:rsidP="00EF0518">
      <w:pPr>
        <w:pStyle w:val="Corpotesto"/>
        <w:tabs>
          <w:tab w:val="left" w:pos="540"/>
        </w:tabs>
        <w:spacing w:after="0" w:line="360" w:lineRule="exact"/>
        <w:jc w:val="both"/>
        <w:rPr>
          <w:rFonts w:asciiTheme="minorHAnsi" w:hAnsiTheme="minorHAnsi" w:cstheme="minorHAnsi"/>
        </w:rPr>
      </w:pPr>
    </w:p>
    <w:p w:rsidR="00803D4C" w:rsidRDefault="00803D4C"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Unione dei Comuni terre e Fiume</w:t>
      </w:r>
    </w:p>
    <w:p w:rsidR="00803D4C"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___________________________</w:t>
      </w:r>
    </w:p>
    <w:p w:rsidR="00EF0518" w:rsidRDefault="00EF0518" w:rsidP="00EF0518">
      <w:pPr>
        <w:pStyle w:val="Corpotesto"/>
        <w:tabs>
          <w:tab w:val="left" w:pos="540"/>
        </w:tabs>
        <w:spacing w:after="0" w:line="360" w:lineRule="exact"/>
        <w:ind w:left="360"/>
        <w:jc w:val="both"/>
        <w:rPr>
          <w:rFonts w:asciiTheme="minorHAnsi" w:hAnsiTheme="minorHAnsi" w:cstheme="minorHAnsi"/>
        </w:rPr>
      </w:pP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Comune di Codigoro</w:t>
      </w: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________________</w:t>
      </w:r>
    </w:p>
    <w:p w:rsidR="00EF0518" w:rsidRDefault="00EF0518" w:rsidP="00EF0518">
      <w:pPr>
        <w:pStyle w:val="Corpotesto"/>
        <w:tabs>
          <w:tab w:val="left" w:pos="540"/>
        </w:tabs>
        <w:spacing w:after="0" w:line="360" w:lineRule="exact"/>
        <w:jc w:val="both"/>
        <w:rPr>
          <w:rFonts w:asciiTheme="minorHAnsi" w:hAnsiTheme="minorHAnsi" w:cstheme="minorHAnsi"/>
        </w:rPr>
      </w:pP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 xml:space="preserve">Comune di </w:t>
      </w:r>
      <w:r>
        <w:rPr>
          <w:rFonts w:asciiTheme="minorHAnsi" w:hAnsiTheme="minorHAnsi" w:cstheme="minorHAnsi"/>
        </w:rPr>
        <w:t>Comacchio</w:t>
      </w: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________________</w:t>
      </w:r>
    </w:p>
    <w:p w:rsidR="00EF0518" w:rsidRDefault="00EF0518" w:rsidP="00EF0518">
      <w:pPr>
        <w:pStyle w:val="Corpotesto"/>
        <w:tabs>
          <w:tab w:val="left" w:pos="540"/>
        </w:tabs>
        <w:spacing w:after="0" w:line="360" w:lineRule="exact"/>
        <w:jc w:val="both"/>
        <w:rPr>
          <w:rFonts w:asciiTheme="minorHAnsi" w:hAnsiTheme="minorHAnsi" w:cstheme="minorHAnsi"/>
        </w:rPr>
      </w:pP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 xml:space="preserve">Comune di </w:t>
      </w:r>
      <w:r>
        <w:rPr>
          <w:rFonts w:asciiTheme="minorHAnsi" w:hAnsiTheme="minorHAnsi" w:cstheme="minorHAnsi"/>
        </w:rPr>
        <w:t>Fiscaglia</w:t>
      </w: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________________</w:t>
      </w:r>
    </w:p>
    <w:p w:rsidR="00EF0518" w:rsidRDefault="00EF0518" w:rsidP="00EF0518">
      <w:pPr>
        <w:pStyle w:val="Corpotesto"/>
        <w:tabs>
          <w:tab w:val="left" w:pos="540"/>
        </w:tabs>
        <w:spacing w:after="0" w:line="360" w:lineRule="exact"/>
        <w:jc w:val="both"/>
        <w:rPr>
          <w:rFonts w:asciiTheme="minorHAnsi" w:hAnsiTheme="minorHAnsi" w:cstheme="minorHAnsi"/>
        </w:rPr>
      </w:pP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 xml:space="preserve">Comune di </w:t>
      </w:r>
      <w:r>
        <w:rPr>
          <w:rFonts w:asciiTheme="minorHAnsi" w:hAnsiTheme="minorHAnsi" w:cstheme="minorHAnsi"/>
        </w:rPr>
        <w:t>Goro</w:t>
      </w: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________________</w:t>
      </w:r>
    </w:p>
    <w:p w:rsidR="00EF0518" w:rsidRDefault="00EF0518" w:rsidP="00EF0518">
      <w:pPr>
        <w:pStyle w:val="Corpotesto"/>
        <w:tabs>
          <w:tab w:val="left" w:pos="540"/>
        </w:tabs>
        <w:spacing w:after="0" w:line="360" w:lineRule="exact"/>
        <w:jc w:val="both"/>
        <w:rPr>
          <w:rFonts w:asciiTheme="minorHAnsi" w:hAnsiTheme="minorHAnsi" w:cstheme="minorHAnsi"/>
        </w:rPr>
      </w:pP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 xml:space="preserve">Comune di </w:t>
      </w:r>
      <w:r>
        <w:rPr>
          <w:rFonts w:asciiTheme="minorHAnsi" w:hAnsiTheme="minorHAnsi" w:cstheme="minorHAnsi"/>
        </w:rPr>
        <w:t>Lagosanto</w:t>
      </w: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________________</w:t>
      </w:r>
    </w:p>
    <w:p w:rsidR="00EF0518" w:rsidRDefault="00EF0518" w:rsidP="00EF0518">
      <w:pPr>
        <w:pStyle w:val="Corpotesto"/>
        <w:tabs>
          <w:tab w:val="left" w:pos="540"/>
        </w:tabs>
        <w:spacing w:after="0" w:line="360" w:lineRule="exact"/>
        <w:jc w:val="both"/>
        <w:rPr>
          <w:rFonts w:asciiTheme="minorHAnsi" w:hAnsiTheme="minorHAnsi" w:cstheme="minorHAnsi"/>
        </w:rPr>
      </w:pP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 xml:space="preserve">Comune di </w:t>
      </w:r>
      <w:r>
        <w:rPr>
          <w:rFonts w:asciiTheme="minorHAnsi" w:hAnsiTheme="minorHAnsi" w:cstheme="minorHAnsi"/>
        </w:rPr>
        <w:t>Mesola</w:t>
      </w: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________________</w:t>
      </w:r>
    </w:p>
    <w:p w:rsidR="00EF0518" w:rsidRDefault="00EF0518" w:rsidP="00EF0518">
      <w:pPr>
        <w:pStyle w:val="Corpotesto"/>
        <w:tabs>
          <w:tab w:val="left" w:pos="540"/>
        </w:tabs>
        <w:spacing w:after="0" w:line="360" w:lineRule="exact"/>
        <w:jc w:val="both"/>
        <w:rPr>
          <w:rFonts w:asciiTheme="minorHAnsi" w:hAnsiTheme="minorHAnsi" w:cstheme="minorHAnsi"/>
        </w:rPr>
      </w:pP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Comune di Jolanda di Savoia</w:t>
      </w: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________________</w:t>
      </w:r>
    </w:p>
    <w:p w:rsidR="00EF0518" w:rsidRDefault="00EF0518" w:rsidP="00EF0518">
      <w:pPr>
        <w:pStyle w:val="Corpotesto"/>
        <w:tabs>
          <w:tab w:val="left" w:pos="540"/>
        </w:tabs>
        <w:spacing w:after="0" w:line="360" w:lineRule="exact"/>
        <w:ind w:firstLine="180"/>
        <w:jc w:val="both"/>
        <w:rPr>
          <w:rFonts w:asciiTheme="minorHAnsi" w:hAnsiTheme="minorHAnsi" w:cstheme="minorHAnsi"/>
        </w:rPr>
      </w:pP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Comune di Vigarano Mainarda</w:t>
      </w:r>
    </w:p>
    <w:p w:rsidR="00EF0518" w:rsidRDefault="00EF0518" w:rsidP="00EF0518">
      <w:pPr>
        <w:pStyle w:val="Corpotesto"/>
        <w:tabs>
          <w:tab w:val="left" w:pos="540"/>
        </w:tabs>
        <w:spacing w:after="0" w:line="360" w:lineRule="exact"/>
        <w:jc w:val="both"/>
        <w:rPr>
          <w:rFonts w:asciiTheme="minorHAnsi" w:hAnsiTheme="minorHAnsi" w:cstheme="minorHAnsi"/>
        </w:rPr>
      </w:pPr>
      <w:r>
        <w:rPr>
          <w:rFonts w:asciiTheme="minorHAnsi" w:hAnsiTheme="minorHAnsi" w:cstheme="minorHAnsi"/>
        </w:rPr>
        <w:t>________________</w:t>
      </w:r>
    </w:p>
    <w:p w:rsidR="00803D4C" w:rsidRDefault="00803D4C" w:rsidP="004B5388">
      <w:pPr>
        <w:pStyle w:val="Corpotesto"/>
        <w:tabs>
          <w:tab w:val="left" w:pos="540"/>
        </w:tabs>
        <w:spacing w:after="0" w:line="360" w:lineRule="exact"/>
        <w:ind w:firstLine="180"/>
        <w:jc w:val="both"/>
        <w:rPr>
          <w:rFonts w:asciiTheme="minorHAnsi" w:hAnsiTheme="minorHAnsi" w:cstheme="minorHAnsi"/>
        </w:rPr>
      </w:pPr>
    </w:p>
    <w:p w:rsidR="00803D4C" w:rsidRPr="00602BEA" w:rsidRDefault="00803D4C" w:rsidP="004B5388">
      <w:pPr>
        <w:pStyle w:val="Corpotesto"/>
        <w:tabs>
          <w:tab w:val="left" w:pos="540"/>
        </w:tabs>
        <w:spacing w:after="0" w:line="360" w:lineRule="exact"/>
        <w:ind w:firstLine="180"/>
        <w:jc w:val="both"/>
        <w:rPr>
          <w:rFonts w:asciiTheme="minorHAnsi" w:hAnsiTheme="minorHAnsi" w:cstheme="minorHAnsi"/>
        </w:rPr>
      </w:pPr>
    </w:p>
    <w:sectPr w:rsidR="00803D4C" w:rsidRPr="00602B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decimal"/>
      <w:lvlText w:val="ART. %2"/>
      <w:lvlJc w:val="left"/>
      <w:pPr>
        <w:tabs>
          <w:tab w:val="num" w:pos="0"/>
        </w:tabs>
        <w:ind w:left="576" w:hanging="576"/>
      </w:pPr>
    </w:lvl>
    <w:lvl w:ilvl="2">
      <w:start w:val="1"/>
      <w:numFmt w:val="decimal"/>
      <w:lvlText w:val="%3."/>
      <w:lvlJc w:val="left"/>
      <w:pPr>
        <w:tabs>
          <w:tab w:val="num" w:pos="284"/>
        </w:tabs>
        <w:ind w:left="664" w:hanging="380"/>
      </w:pPr>
    </w:lvl>
    <w:lvl w:ilvl="3">
      <w:start w:val="1"/>
      <w:numFmt w:val="lowerLetter"/>
      <w:lvlText w:val="%4."/>
      <w:lvlJc w:val="left"/>
      <w:pPr>
        <w:tabs>
          <w:tab w:val="num" w:pos="0"/>
        </w:tabs>
        <w:ind w:left="864" w:hanging="354"/>
      </w:pPr>
      <w:rPr>
        <w:b w:val="0"/>
        <w:bCs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A34CCA"/>
    <w:multiLevelType w:val="hybridMultilevel"/>
    <w:tmpl w:val="C69CF942"/>
    <w:lvl w:ilvl="0" w:tplc="9856C7DC">
      <w:numFmt w:val="bullet"/>
      <w:lvlText w:val="-"/>
      <w:lvlJc w:val="left"/>
      <w:pPr>
        <w:tabs>
          <w:tab w:val="num" w:pos="720"/>
        </w:tabs>
        <w:ind w:left="720" w:hanging="360"/>
      </w:pPr>
      <w:rPr>
        <w:rFonts w:ascii="Calibri" w:eastAsia="SimSun" w:hAnsi="Calibri" w:cs="Calibri" w:hint="default"/>
        <w:color w:val="00000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9660C3"/>
    <w:multiLevelType w:val="hybridMultilevel"/>
    <w:tmpl w:val="68C48E02"/>
    <w:lvl w:ilvl="0" w:tplc="45E0FE6C">
      <w:start w:val="1"/>
      <w:numFmt w:val="decimal"/>
      <w:lvlText w:val="%1."/>
      <w:lvlJc w:val="left"/>
      <w:pPr>
        <w:tabs>
          <w:tab w:val="num" w:pos="720"/>
        </w:tabs>
        <w:ind w:left="720" w:hanging="360"/>
      </w:pPr>
      <w:rPr>
        <w:rFonts w:ascii="Calibri" w:hAnsi="Calibri" w:cs="Times New Roman" w:hint="default"/>
        <w:b w:val="0"/>
        <w:color w:val="auto"/>
        <w:sz w:val="24"/>
        <w:szCs w:val="24"/>
      </w:rPr>
    </w:lvl>
    <w:lvl w:ilvl="1" w:tplc="04100003">
      <w:start w:val="1"/>
      <w:numFmt w:val="decimal"/>
      <w:pStyle w:val="Titolo2"/>
      <w:lvlText w:val="%2."/>
      <w:lvlJc w:val="left"/>
      <w:pPr>
        <w:tabs>
          <w:tab w:val="num" w:pos="1440"/>
        </w:tabs>
        <w:ind w:left="1440" w:hanging="360"/>
      </w:pPr>
    </w:lvl>
    <w:lvl w:ilvl="2" w:tplc="04100005">
      <w:start w:val="1"/>
      <w:numFmt w:val="decimal"/>
      <w:pStyle w:val="Titolo3"/>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2C"/>
    <w:rsid w:val="00063A2D"/>
    <w:rsid w:val="000E16C0"/>
    <w:rsid w:val="001036AB"/>
    <w:rsid w:val="00172522"/>
    <w:rsid w:val="001A0D67"/>
    <w:rsid w:val="002530BB"/>
    <w:rsid w:val="0037609C"/>
    <w:rsid w:val="003A238C"/>
    <w:rsid w:val="003E7C1D"/>
    <w:rsid w:val="00446A7A"/>
    <w:rsid w:val="00465A7E"/>
    <w:rsid w:val="00497F35"/>
    <w:rsid w:val="004B5388"/>
    <w:rsid w:val="00602BEA"/>
    <w:rsid w:val="006F0CD6"/>
    <w:rsid w:val="007D5752"/>
    <w:rsid w:val="00803D4C"/>
    <w:rsid w:val="0087532C"/>
    <w:rsid w:val="008F0913"/>
    <w:rsid w:val="008F1D30"/>
    <w:rsid w:val="009440CD"/>
    <w:rsid w:val="00953EA4"/>
    <w:rsid w:val="0096751C"/>
    <w:rsid w:val="00A72357"/>
    <w:rsid w:val="00BF5141"/>
    <w:rsid w:val="00BF706E"/>
    <w:rsid w:val="00C71DA0"/>
    <w:rsid w:val="00DC2CF0"/>
    <w:rsid w:val="00DF36F5"/>
    <w:rsid w:val="00DF4C2A"/>
    <w:rsid w:val="00EE562B"/>
    <w:rsid w:val="00EF0518"/>
    <w:rsid w:val="00F670F8"/>
    <w:rsid w:val="00FD2E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A400F2"/>
  <w15:chartTrackingRefBased/>
  <w15:docId w15:val="{C51A4BE9-F92A-4DD1-B717-B8209F4A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7532C"/>
    <w:pPr>
      <w:widowControl w:val="0"/>
      <w:suppressAutoHyphens/>
      <w:spacing w:after="0" w:line="240" w:lineRule="auto"/>
    </w:pPr>
    <w:rPr>
      <w:rFonts w:ascii="Trebuchet MS" w:eastAsia="SimSun" w:hAnsi="Trebuchet MS" w:cs="Mangal"/>
      <w:kern w:val="2"/>
      <w:sz w:val="24"/>
      <w:szCs w:val="24"/>
      <w:lang w:eastAsia="zh-CN" w:bidi="hi-IN"/>
    </w:rPr>
  </w:style>
  <w:style w:type="paragraph" w:styleId="Titolo2">
    <w:name w:val="heading 2"/>
    <w:basedOn w:val="Normale"/>
    <w:next w:val="Normale"/>
    <w:link w:val="Titolo2Carattere"/>
    <w:qFormat/>
    <w:rsid w:val="00DF36F5"/>
    <w:pPr>
      <w:keepNext/>
      <w:widowControl/>
      <w:numPr>
        <w:ilvl w:val="1"/>
        <w:numId w:val="1"/>
      </w:numPr>
      <w:outlineLvl w:val="1"/>
    </w:pPr>
    <w:rPr>
      <w:rFonts w:ascii="Arial" w:eastAsia="Times New Roman" w:hAnsi="Arial" w:cs="Times New Roman"/>
      <w:b/>
      <w:kern w:val="0"/>
      <w:sz w:val="26"/>
      <w:szCs w:val="20"/>
      <w:lang w:eastAsia="ar-SA" w:bidi="ar-SA"/>
    </w:rPr>
  </w:style>
  <w:style w:type="paragraph" w:styleId="Titolo3">
    <w:name w:val="heading 3"/>
    <w:basedOn w:val="Normale"/>
    <w:next w:val="Normale"/>
    <w:link w:val="Titolo3Carattere"/>
    <w:qFormat/>
    <w:rsid w:val="00DF36F5"/>
    <w:pPr>
      <w:keepNext/>
      <w:widowControl/>
      <w:numPr>
        <w:ilvl w:val="2"/>
        <w:numId w:val="1"/>
      </w:numPr>
      <w:jc w:val="both"/>
      <w:outlineLvl w:val="2"/>
    </w:pPr>
    <w:rPr>
      <w:rFonts w:ascii="Arial" w:eastAsia="Times New Roman" w:hAnsi="Arial" w:cs="Arial"/>
      <w:bCs/>
      <w:kern w:val="0"/>
      <w:sz w:val="22"/>
      <w:lang w:eastAsia="ar-SA"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rsid w:val="0087532C"/>
    <w:pPr>
      <w:widowControl/>
      <w:suppressAutoHyphens w:val="0"/>
      <w:spacing w:before="100" w:beforeAutospacing="1" w:after="142" w:line="288" w:lineRule="auto"/>
    </w:pPr>
    <w:rPr>
      <w:rFonts w:ascii="Times New Roman" w:eastAsia="Times New Roman" w:hAnsi="Times New Roman" w:cs="Times New Roman"/>
      <w:kern w:val="0"/>
      <w:lang w:eastAsia="it-IT" w:bidi="ar-SA"/>
    </w:rPr>
  </w:style>
  <w:style w:type="paragraph" w:styleId="Corpotesto">
    <w:name w:val="Body Text"/>
    <w:basedOn w:val="Normale"/>
    <w:link w:val="CorpotestoCarattere"/>
    <w:semiHidden/>
    <w:unhideWhenUsed/>
    <w:rsid w:val="0087532C"/>
    <w:pPr>
      <w:spacing w:after="140" w:line="288" w:lineRule="auto"/>
    </w:pPr>
  </w:style>
  <w:style w:type="character" w:customStyle="1" w:styleId="CorpotestoCarattere">
    <w:name w:val="Corpo testo Carattere"/>
    <w:basedOn w:val="Carpredefinitoparagrafo"/>
    <w:link w:val="Corpotesto"/>
    <w:semiHidden/>
    <w:rsid w:val="0087532C"/>
    <w:rPr>
      <w:rFonts w:ascii="Trebuchet MS" w:eastAsia="SimSun" w:hAnsi="Trebuchet MS" w:cs="Mangal"/>
      <w:kern w:val="2"/>
      <w:sz w:val="24"/>
      <w:szCs w:val="24"/>
      <w:lang w:eastAsia="zh-CN" w:bidi="hi-IN"/>
    </w:rPr>
  </w:style>
  <w:style w:type="character" w:customStyle="1" w:styleId="Titolo2Carattere">
    <w:name w:val="Titolo 2 Carattere"/>
    <w:basedOn w:val="Carpredefinitoparagrafo"/>
    <w:link w:val="Titolo2"/>
    <w:rsid w:val="00DF36F5"/>
    <w:rPr>
      <w:rFonts w:ascii="Arial" w:eastAsia="Times New Roman" w:hAnsi="Arial" w:cs="Times New Roman"/>
      <w:b/>
      <w:sz w:val="26"/>
      <w:szCs w:val="20"/>
      <w:lang w:eastAsia="ar-SA"/>
    </w:rPr>
  </w:style>
  <w:style w:type="character" w:customStyle="1" w:styleId="Titolo3Carattere">
    <w:name w:val="Titolo 3 Carattere"/>
    <w:basedOn w:val="Carpredefinitoparagrafo"/>
    <w:link w:val="Titolo3"/>
    <w:rsid w:val="00DF36F5"/>
    <w:rPr>
      <w:rFonts w:ascii="Arial" w:eastAsia="Times New Roman" w:hAnsi="Arial" w:cs="Arial"/>
      <w:bCs/>
      <w:szCs w:val="24"/>
      <w:lang w:eastAsia="ar-SA"/>
    </w:rPr>
  </w:style>
  <w:style w:type="paragraph" w:styleId="Testofumetto">
    <w:name w:val="Balloon Text"/>
    <w:basedOn w:val="Normale"/>
    <w:link w:val="TestofumettoCarattere"/>
    <w:uiPriority w:val="99"/>
    <w:semiHidden/>
    <w:unhideWhenUsed/>
    <w:rsid w:val="004B5388"/>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4B5388"/>
    <w:rPr>
      <w:rFonts w:ascii="Segoe UI" w:eastAsia="SimSu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1730</Words>
  <Characters>9863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Farina</dc:creator>
  <cp:keywords/>
  <dc:description/>
  <cp:lastModifiedBy>Lealini Valentina</cp:lastModifiedBy>
  <cp:revision>15</cp:revision>
  <cp:lastPrinted>2019-03-20T09:59:00Z</cp:lastPrinted>
  <dcterms:created xsi:type="dcterms:W3CDTF">2019-04-01T09:45:00Z</dcterms:created>
  <dcterms:modified xsi:type="dcterms:W3CDTF">2019-04-08T11:08:00Z</dcterms:modified>
</cp:coreProperties>
</file>